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208280</wp:posOffset>
            </wp:positionH>
            <wp:positionV relativeFrom="page">
              <wp:posOffset>568960</wp:posOffset>
            </wp:positionV>
            <wp:extent cx="713232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7132320" cy="8255"/>
                    </a:xfrm>
                    <a:prstGeom prst="rect">
                      <a:avLst/>
                    </a:prstGeom>
                    <a:noFill/>
                  </pic:spPr>
                </pic:pic>
              </a:graphicData>
            </a:graphic>
          </wp:anchor>
        </w:drawing>
        <w:drawing>
          <wp:anchor simplePos="0" relativeHeight="251657728" behindDoc="1" locked="0" layoutInCell="0" allowOverlap="1">
            <wp:simplePos x="0" y="0"/>
            <wp:positionH relativeFrom="page">
              <wp:posOffset>208280</wp:posOffset>
            </wp:positionH>
            <wp:positionV relativeFrom="page">
              <wp:posOffset>586105</wp:posOffset>
            </wp:positionV>
            <wp:extent cx="713232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7132320" cy="8255"/>
                    </a:xfrm>
                    <a:prstGeom prst="rect">
                      <a:avLst/>
                    </a:prstGeom>
                    <a:noFill/>
                  </pic:spPr>
                </pic:pic>
              </a:graphicData>
            </a:graphic>
          </wp:anchor>
        </w:drawing>
        <w:t>UNITED STATES</w:t>
      </w:r>
    </w:p>
    <w:p>
      <w:pPr>
        <w:spacing w:after="0" w:line="3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132715</wp:posOffset>
            </wp:positionV>
            <wp:extent cx="1423035"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23035" cy="8255"/>
                    </a:xfrm>
                    <a:prstGeom prst="rect">
                      <a:avLst/>
                    </a:prstGeom>
                    <a:noFill/>
                  </pic:spPr>
                </pic:pic>
              </a:graphicData>
            </a:graphic>
          </wp:anchor>
        </w:drawing>
      </w:r>
    </w:p>
    <w:p>
      <w:pPr>
        <w:spacing w:after="0" w:line="33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165100</wp:posOffset>
            </wp:positionV>
            <wp:extent cx="1423035" cy="8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23035" cy="8890"/>
                    </a:xfrm>
                    <a:prstGeom prst="rect">
                      <a:avLst/>
                    </a:prstGeom>
                    <a:noFill/>
                  </pic:spPr>
                </pic:pic>
              </a:graphicData>
            </a:graphic>
          </wp:anchor>
        </w:drawing>
      </w:r>
    </w:p>
    <w:p>
      <w:pPr>
        <w:spacing w:after="0" w:line="38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15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Pursuant to Section 13 or 15(d) of the Securities Exchange Act of 1934</w:t>
      </w:r>
    </w:p>
    <w:p>
      <w:pPr>
        <w:spacing w:after="0" w:line="107" w:lineRule="exact"/>
        <w:rPr>
          <w:sz w:val="24"/>
          <w:szCs w:val="24"/>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Date of Report (Date of earliest event reported): February 05, 2025</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217170</wp:posOffset>
            </wp:positionV>
            <wp:extent cx="1423035"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23035" cy="8255"/>
                    </a:xfrm>
                    <a:prstGeom prst="rect">
                      <a:avLst/>
                    </a:prstGeom>
                    <a:noFill/>
                  </pic:spPr>
                </pic:pic>
              </a:graphicData>
            </a:graphic>
          </wp:anchor>
        </w:drawing>
      </w:r>
    </w:p>
    <w:p>
      <w:pPr>
        <w:spacing w:after="0" w:line="200" w:lineRule="exact"/>
        <w:rPr>
          <w:sz w:val="24"/>
          <w:szCs w:val="24"/>
          <w:color w:val="auto"/>
        </w:rPr>
      </w:pPr>
    </w:p>
    <w:p>
      <w:pPr>
        <w:spacing w:after="0" w:line="38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43"/>
          <w:szCs w:val="43"/>
          <w:b w:val="1"/>
          <w:bCs w:val="1"/>
          <w:color w:val="auto"/>
        </w:rPr>
        <w:t>MICROSTRATEGY INCORPORATED</w:t>
      </w:r>
    </w:p>
    <w:p>
      <w:pPr>
        <w:spacing w:after="0" w:line="9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250190</wp:posOffset>
            </wp:positionV>
            <wp:extent cx="1423035"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23035" cy="8255"/>
                    </a:xfrm>
                    <a:prstGeom prst="rect">
                      <a:avLst/>
                    </a:prstGeom>
                    <a:noFill/>
                  </pic:spPr>
                </pic:pic>
              </a:graphicData>
            </a:graphic>
          </wp:anchor>
        </w:drawing>
      </w:r>
    </w:p>
    <w:p>
      <w:pPr>
        <w:spacing w:after="0" w:line="200" w:lineRule="exact"/>
        <w:rPr>
          <w:sz w:val="24"/>
          <w:szCs w:val="24"/>
          <w:color w:val="auto"/>
        </w:rPr>
      </w:pPr>
    </w:p>
    <w:p>
      <w:pPr>
        <w:spacing w:after="0" w:line="381" w:lineRule="exact"/>
        <w:rPr>
          <w:sz w:val="24"/>
          <w:szCs w:val="24"/>
          <w:color w:val="auto"/>
        </w:rPr>
      </w:pPr>
    </w:p>
    <w:tbl>
      <w:tblPr>
        <w:tblLayout w:type="fixed"/>
        <w:tblInd w:w="1160" w:type="dxa"/>
        <w:tblCellMar>
          <w:top w:w="0" w:type="dxa"/>
          <w:left w:w="0" w:type="dxa"/>
          <w:bottom w:w="0" w:type="dxa"/>
          <w:right w:w="0" w:type="dxa"/>
        </w:tblCellMar>
      </w:tblPr>
      <w:tr>
        <w:trPr>
          <w:trHeight w:val="222"/>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8"/>
                <w:szCs w:val="18"/>
                <w:b w:val="1"/>
                <w:bCs w:val="1"/>
                <w:color w:val="auto"/>
                <w:w w:val="98"/>
              </w:rPr>
              <w:t>Delaware</w:t>
            </w:r>
          </w:p>
        </w:tc>
        <w:tc>
          <w:tcPr>
            <w:tcW w:w="3260" w:type="dxa"/>
            <w:vAlign w:val="bottom"/>
          </w:tcPr>
          <w:p>
            <w:pPr>
              <w:jc w:val="right"/>
              <w:ind w:right="1401"/>
              <w:spacing w:after="0"/>
              <w:rPr>
                <w:sz w:val="20"/>
                <w:szCs w:val="20"/>
                <w:color w:val="auto"/>
              </w:rPr>
            </w:pPr>
            <w:r>
              <w:rPr>
                <w:rFonts w:ascii="Times New Roman" w:cs="Times New Roman" w:eastAsia="Times New Roman" w:hAnsi="Times New Roman"/>
                <w:sz w:val="18"/>
                <w:szCs w:val="18"/>
                <w:b w:val="1"/>
                <w:bCs w:val="1"/>
                <w:color w:val="auto"/>
              </w:rPr>
              <w:t>0-24435</w:t>
            </w:r>
          </w:p>
        </w:tc>
        <w:tc>
          <w:tcPr>
            <w:tcW w:w="2040" w:type="dxa"/>
            <w:vAlign w:val="bottom"/>
          </w:tcPr>
          <w:p>
            <w:pPr>
              <w:jc w:val="right"/>
              <w:ind w:right="4"/>
              <w:spacing w:after="0"/>
              <w:rPr>
                <w:sz w:val="20"/>
                <w:szCs w:val="20"/>
                <w:color w:val="auto"/>
              </w:rPr>
            </w:pPr>
            <w:r>
              <w:rPr>
                <w:rFonts w:ascii="Times New Roman" w:cs="Times New Roman" w:eastAsia="Times New Roman" w:hAnsi="Times New Roman"/>
                <w:sz w:val="18"/>
                <w:szCs w:val="18"/>
                <w:b w:val="1"/>
                <w:bCs w:val="1"/>
                <w:color w:val="auto"/>
              </w:rPr>
              <w:t>51-0323571</w:t>
            </w:r>
          </w:p>
        </w:tc>
      </w:tr>
      <w:tr>
        <w:trPr>
          <w:trHeight w:val="149"/>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3"/>
                <w:szCs w:val="13"/>
                <w:b w:val="1"/>
                <w:bCs w:val="1"/>
                <w:color w:val="auto"/>
              </w:rPr>
              <w:t>(State or Other Jurisdiction</w:t>
            </w:r>
          </w:p>
        </w:tc>
        <w:tc>
          <w:tcPr>
            <w:tcW w:w="3260" w:type="dxa"/>
            <w:vAlign w:val="bottom"/>
          </w:tcPr>
          <w:p>
            <w:pPr>
              <w:jc w:val="center"/>
              <w:ind w:right="241"/>
              <w:spacing w:after="0"/>
              <w:rPr>
                <w:sz w:val="20"/>
                <w:szCs w:val="20"/>
                <w:color w:val="auto"/>
              </w:rPr>
            </w:pPr>
            <w:r>
              <w:rPr>
                <w:rFonts w:ascii="Times New Roman" w:cs="Times New Roman" w:eastAsia="Times New Roman" w:hAnsi="Times New Roman"/>
                <w:sz w:val="13"/>
                <w:szCs w:val="13"/>
                <w:b w:val="1"/>
                <w:bCs w:val="1"/>
                <w:color w:val="auto"/>
              </w:rPr>
              <w:t>(Commission File Number)</w:t>
            </w:r>
          </w:p>
        </w:tc>
        <w:tc>
          <w:tcPr>
            <w:tcW w:w="2040" w:type="dxa"/>
            <w:vAlign w:val="bottom"/>
          </w:tcPr>
          <w:p>
            <w:pPr>
              <w:jc w:val="center"/>
              <w:ind w:left="924"/>
              <w:spacing w:after="0"/>
              <w:rPr>
                <w:sz w:val="20"/>
                <w:szCs w:val="20"/>
                <w:color w:val="auto"/>
              </w:rPr>
            </w:pPr>
            <w:r>
              <w:rPr>
                <w:rFonts w:ascii="Times New Roman" w:cs="Times New Roman" w:eastAsia="Times New Roman" w:hAnsi="Times New Roman"/>
                <w:sz w:val="13"/>
                <w:szCs w:val="13"/>
                <w:b w:val="1"/>
                <w:bCs w:val="1"/>
                <w:color w:val="auto"/>
              </w:rPr>
              <w:t>(IRS Employer</w:t>
            </w:r>
          </w:p>
        </w:tc>
      </w:tr>
      <w:tr>
        <w:trPr>
          <w:trHeight w:val="178"/>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3"/>
                <w:szCs w:val="13"/>
                <w:b w:val="1"/>
                <w:bCs w:val="1"/>
                <w:color w:val="auto"/>
              </w:rPr>
              <w:t>of Incorporation)</w:t>
            </w:r>
          </w:p>
        </w:tc>
        <w:tc>
          <w:tcPr>
            <w:tcW w:w="3260" w:type="dxa"/>
            <w:vAlign w:val="bottom"/>
          </w:tcPr>
          <w:p>
            <w:pPr>
              <w:spacing w:after="0"/>
              <w:rPr>
                <w:sz w:val="15"/>
                <w:szCs w:val="15"/>
                <w:color w:val="auto"/>
              </w:rPr>
            </w:pPr>
          </w:p>
        </w:tc>
        <w:tc>
          <w:tcPr>
            <w:tcW w:w="2040" w:type="dxa"/>
            <w:vAlign w:val="bottom"/>
          </w:tcPr>
          <w:p>
            <w:pPr>
              <w:jc w:val="center"/>
              <w:ind w:left="904"/>
              <w:spacing w:after="0"/>
              <w:rPr>
                <w:sz w:val="20"/>
                <w:szCs w:val="20"/>
                <w:color w:val="auto"/>
              </w:rPr>
            </w:pPr>
            <w:r>
              <w:rPr>
                <w:rFonts w:ascii="Times New Roman" w:cs="Times New Roman" w:eastAsia="Times New Roman" w:hAnsi="Times New Roman"/>
                <w:sz w:val="13"/>
                <w:szCs w:val="13"/>
                <w:b w:val="1"/>
                <w:bCs w:val="1"/>
                <w:color w:val="auto"/>
              </w:rPr>
              <w:t>Identification No.)</w:t>
            </w:r>
          </w:p>
        </w:tc>
      </w:tr>
      <w:tr>
        <w:trPr>
          <w:trHeight w:val="397"/>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8"/>
                <w:szCs w:val="18"/>
                <w:b w:val="1"/>
                <w:bCs w:val="1"/>
                <w:color w:val="auto"/>
                <w:w w:val="99"/>
              </w:rPr>
              <w:t>1850 Towers Crescent Plaza</w:t>
            </w:r>
          </w:p>
        </w:tc>
        <w:tc>
          <w:tcPr>
            <w:tcW w:w="3260" w:type="dxa"/>
            <w:vAlign w:val="bottom"/>
          </w:tcPr>
          <w:p>
            <w:pPr>
              <w:spacing w:after="0"/>
              <w:rPr>
                <w:sz w:val="24"/>
                <w:szCs w:val="24"/>
                <w:color w:val="auto"/>
              </w:rPr>
            </w:pPr>
          </w:p>
        </w:tc>
        <w:tc>
          <w:tcPr>
            <w:tcW w:w="2040" w:type="dxa"/>
            <w:vAlign w:val="bottom"/>
          </w:tcPr>
          <w:p>
            <w:pPr>
              <w:spacing w:after="0"/>
              <w:rPr>
                <w:sz w:val="24"/>
                <w:szCs w:val="24"/>
                <w:color w:val="auto"/>
              </w:rPr>
            </w:pPr>
          </w:p>
        </w:tc>
      </w:tr>
      <w:tr>
        <w:trPr>
          <w:trHeight w:val="222"/>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8"/>
                <w:szCs w:val="18"/>
                <w:b w:val="1"/>
                <w:bCs w:val="1"/>
                <w:color w:val="auto"/>
              </w:rPr>
              <w:t>Tysons Corner, Virginia</w:t>
            </w:r>
          </w:p>
        </w:tc>
        <w:tc>
          <w:tcPr>
            <w:tcW w:w="3260" w:type="dxa"/>
            <w:vAlign w:val="bottom"/>
          </w:tcPr>
          <w:p>
            <w:pPr>
              <w:spacing w:after="0"/>
              <w:rPr>
                <w:sz w:val="19"/>
                <w:szCs w:val="19"/>
                <w:color w:val="auto"/>
              </w:rPr>
            </w:pPr>
          </w:p>
        </w:tc>
        <w:tc>
          <w:tcPr>
            <w:tcW w:w="2040" w:type="dxa"/>
            <w:vAlign w:val="bottom"/>
          </w:tcPr>
          <w:p>
            <w:pPr>
              <w:jc w:val="right"/>
              <w:ind w:right="224"/>
              <w:spacing w:after="0"/>
              <w:rPr>
                <w:sz w:val="20"/>
                <w:szCs w:val="20"/>
                <w:color w:val="auto"/>
              </w:rPr>
            </w:pPr>
            <w:r>
              <w:rPr>
                <w:rFonts w:ascii="Times New Roman" w:cs="Times New Roman" w:eastAsia="Times New Roman" w:hAnsi="Times New Roman"/>
                <w:sz w:val="18"/>
                <w:szCs w:val="18"/>
                <w:b w:val="1"/>
                <w:bCs w:val="1"/>
                <w:color w:val="auto"/>
              </w:rPr>
              <w:t>22182</w:t>
            </w:r>
          </w:p>
        </w:tc>
      </w:tr>
      <w:tr>
        <w:trPr>
          <w:trHeight w:val="178"/>
        </w:trPr>
        <w:tc>
          <w:tcPr>
            <w:tcW w:w="3000" w:type="dxa"/>
            <w:vAlign w:val="bottom"/>
          </w:tcPr>
          <w:p>
            <w:pPr>
              <w:jc w:val="center"/>
              <w:ind w:right="601"/>
              <w:spacing w:after="0"/>
              <w:rPr>
                <w:sz w:val="20"/>
                <w:szCs w:val="20"/>
                <w:color w:val="auto"/>
              </w:rPr>
            </w:pPr>
            <w:r>
              <w:rPr>
                <w:rFonts w:ascii="Times New Roman" w:cs="Times New Roman" w:eastAsia="Times New Roman" w:hAnsi="Times New Roman"/>
                <w:sz w:val="13"/>
                <w:szCs w:val="13"/>
                <w:b w:val="1"/>
                <w:bCs w:val="1"/>
                <w:color w:val="auto"/>
              </w:rPr>
              <w:t>(Address of Principal Executive Offices)</w:t>
            </w:r>
          </w:p>
        </w:tc>
        <w:tc>
          <w:tcPr>
            <w:tcW w:w="3260" w:type="dxa"/>
            <w:vAlign w:val="bottom"/>
          </w:tcPr>
          <w:p>
            <w:pPr>
              <w:spacing w:after="0"/>
              <w:rPr>
                <w:sz w:val="15"/>
                <w:szCs w:val="15"/>
                <w:color w:val="auto"/>
              </w:rPr>
            </w:pPr>
          </w:p>
        </w:tc>
        <w:tc>
          <w:tcPr>
            <w:tcW w:w="2040" w:type="dxa"/>
            <w:vAlign w:val="bottom"/>
          </w:tcPr>
          <w:p>
            <w:pPr>
              <w:jc w:val="center"/>
              <w:ind w:left="924"/>
              <w:spacing w:after="0"/>
              <w:rPr>
                <w:sz w:val="20"/>
                <w:szCs w:val="20"/>
                <w:color w:val="auto"/>
              </w:rPr>
            </w:pPr>
            <w:r>
              <w:rPr>
                <w:rFonts w:ascii="Times New Roman" w:cs="Times New Roman" w:eastAsia="Times New Roman" w:hAnsi="Times New Roman"/>
                <w:sz w:val="13"/>
                <w:szCs w:val="13"/>
                <w:b w:val="1"/>
                <w:bCs w:val="1"/>
                <w:color w:val="auto"/>
              </w:rPr>
              <w:t>(Zip Code)</w:t>
            </w:r>
          </w:p>
        </w:tc>
      </w:tr>
    </w:tbl>
    <w:p>
      <w:pPr>
        <w:spacing w:after="0" w:line="200" w:lineRule="exact"/>
        <w:rPr>
          <w:sz w:val="24"/>
          <w:szCs w:val="24"/>
          <w:color w:val="auto"/>
        </w:rPr>
      </w:pPr>
    </w:p>
    <w:p>
      <w:pPr>
        <w:spacing w:after="0" w:line="210" w:lineRule="exact"/>
        <w:rPr>
          <w:sz w:val="24"/>
          <w:szCs w:val="24"/>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200" w:lineRule="exact"/>
        <w:rPr>
          <w:sz w:val="24"/>
          <w:szCs w:val="24"/>
          <w:color w:val="auto"/>
        </w:rPr>
      </w:pPr>
    </w:p>
    <w:p>
      <w:pPr>
        <w:spacing w:after="0" w:line="200" w:lineRule="exact"/>
        <w:rPr>
          <w:sz w:val="24"/>
          <w:szCs w:val="24"/>
          <w:color w:val="auto"/>
        </w:rPr>
      </w:pPr>
    </w:p>
    <w:p>
      <w:pPr>
        <w:spacing w:after="0" w:line="20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3"/>
          <w:szCs w:val="13"/>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2859405</wp:posOffset>
            </wp:positionH>
            <wp:positionV relativeFrom="paragraph">
              <wp:posOffset>258445</wp:posOffset>
            </wp:positionV>
            <wp:extent cx="142303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23035" cy="8255"/>
                    </a:xfrm>
                    <a:prstGeom prst="rect">
                      <a:avLst/>
                    </a:prstGeom>
                    <a:noFill/>
                  </pic:spPr>
                </pic:pic>
              </a:graphicData>
            </a:graphic>
          </wp:anchor>
        </w:drawing>
      </w:r>
    </w:p>
    <w:p>
      <w:pPr>
        <w:spacing w:after="0" w:line="200" w:lineRule="exact"/>
        <w:rPr>
          <w:sz w:val="24"/>
          <w:szCs w:val="24"/>
          <w:color w:val="auto"/>
        </w:rPr>
      </w:pPr>
    </w:p>
    <w:p>
      <w:pPr>
        <w:spacing w:after="0" w:line="344" w:lineRule="exact"/>
        <w:rPr>
          <w:sz w:val="24"/>
          <w:szCs w:val="24"/>
          <w:color w:val="auto"/>
        </w:rPr>
      </w:pPr>
    </w:p>
    <w:p>
      <w:pPr>
        <w:ind w:right="6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w:t>
      </w:r>
    </w:p>
    <w:p>
      <w:pPr>
        <w:spacing w:after="0" w:line="108" w:lineRule="exact"/>
        <w:rPr>
          <w:sz w:val="24"/>
          <w:szCs w:val="24"/>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17" w:lineRule="exact"/>
        <w:rPr>
          <w:rFonts w:ascii="MS PGothic" w:cs="MS PGothic" w:eastAsia="MS PGothic" w:hAnsi="MS PGothic"/>
          <w:sz w:val="18"/>
          <w:szCs w:val="18"/>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17" w:lineRule="exact"/>
        <w:rPr>
          <w:rFonts w:ascii="MS PGothic" w:cs="MS PGothic" w:eastAsia="MS PGothic" w:hAnsi="MS PGothic"/>
          <w:sz w:val="18"/>
          <w:szCs w:val="18"/>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17" w:lineRule="exact"/>
        <w:rPr>
          <w:rFonts w:ascii="MS PGothic" w:cs="MS PGothic" w:eastAsia="MS PGothic" w:hAnsi="MS PGothic"/>
          <w:sz w:val="18"/>
          <w:szCs w:val="18"/>
          <w:color w:val="auto"/>
        </w:rPr>
      </w:pPr>
    </w:p>
    <w:p>
      <w:pPr>
        <w:ind w:left="380" w:hanging="372"/>
        <w:spacing w:after="0"/>
        <w:tabs>
          <w:tab w:leader="none" w:pos="38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6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Securities registered pursuant to Section 12(b) of the Act:</w:t>
      </w:r>
    </w:p>
    <w:p>
      <w:pPr>
        <w:spacing w:after="0" w:line="171" w:lineRule="exact"/>
        <w:rPr>
          <w:sz w:val="24"/>
          <w:szCs w:val="24"/>
          <w:color w:val="auto"/>
        </w:rPr>
      </w:pPr>
    </w:p>
    <w:tbl>
      <w:tblPr>
        <w:tblLayout w:type="fixed"/>
        <w:tblInd w:w="0" w:type="dxa"/>
        <w:tblCellMar>
          <w:top w:w="0" w:type="dxa"/>
          <w:left w:w="0" w:type="dxa"/>
          <w:bottom w:w="0" w:type="dxa"/>
          <w:right w:w="0" w:type="dxa"/>
        </w:tblCellMar>
      </w:tblPr>
      <w:tr>
        <w:trPr>
          <w:trHeight w:val="216"/>
        </w:trPr>
        <w:tc>
          <w:tcPr>
            <w:tcW w:w="428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1680" w:type="dxa"/>
            <w:vAlign w:val="bottom"/>
          </w:tcPr>
          <w:p>
            <w:pPr>
              <w:jc w:val="center"/>
              <w:spacing w:after="0"/>
              <w:rPr>
                <w:sz w:val="20"/>
                <w:szCs w:val="20"/>
                <w:color w:val="auto"/>
              </w:rPr>
            </w:pPr>
            <w:r>
              <w:rPr>
                <w:rFonts w:ascii="Times New Roman" w:cs="Times New Roman" w:eastAsia="Times New Roman" w:hAnsi="Times New Roman"/>
                <w:sz w:val="18"/>
                <w:szCs w:val="18"/>
                <w:b w:val="1"/>
                <w:bCs w:val="1"/>
                <w:color w:val="auto"/>
                <w:w w:val="98"/>
              </w:rPr>
              <w:t>Trading</w:t>
            </w:r>
          </w:p>
        </w:tc>
        <w:tc>
          <w:tcPr>
            <w:tcW w:w="120" w:type="dxa"/>
            <w:vAlign w:val="bottom"/>
          </w:tcPr>
          <w:p>
            <w:pPr>
              <w:spacing w:after="0"/>
              <w:rPr>
                <w:sz w:val="18"/>
                <w:szCs w:val="18"/>
                <w:color w:val="auto"/>
              </w:rPr>
            </w:pPr>
          </w:p>
        </w:tc>
        <w:tc>
          <w:tcPr>
            <w:tcW w:w="5040" w:type="dxa"/>
            <w:vAlign w:val="bottom"/>
          </w:tcPr>
          <w:p>
            <w:pPr>
              <w:spacing w:after="0"/>
              <w:rPr>
                <w:sz w:val="18"/>
                <w:szCs w:val="18"/>
                <w:color w:val="auto"/>
              </w:rPr>
            </w:pPr>
          </w:p>
        </w:tc>
      </w:tr>
      <w:tr>
        <w:trPr>
          <w:trHeight w:val="238"/>
        </w:trPr>
        <w:tc>
          <w:tcPr>
            <w:tcW w:w="42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b w:val="1"/>
                <w:bCs w:val="1"/>
                <w:color w:val="auto"/>
                <w:w w:val="98"/>
              </w:rPr>
              <w:t>Title of each class</w:t>
            </w:r>
          </w:p>
        </w:tc>
        <w:tc>
          <w:tcPr>
            <w:tcW w:w="120" w:type="dxa"/>
            <w:vAlign w:val="bottom"/>
          </w:tcPr>
          <w:p>
            <w:pPr>
              <w:spacing w:after="0"/>
              <w:rPr>
                <w:sz w:val="20"/>
                <w:szCs w:val="20"/>
                <w:color w:val="auto"/>
              </w:rPr>
            </w:pPr>
          </w:p>
        </w:tc>
        <w:tc>
          <w:tcPr>
            <w:tcW w:w="16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b w:val="1"/>
                <w:bCs w:val="1"/>
                <w:color w:val="auto"/>
              </w:rPr>
              <w:t>Symbol(s)</w:t>
            </w:r>
          </w:p>
        </w:tc>
        <w:tc>
          <w:tcPr>
            <w:tcW w:w="120" w:type="dxa"/>
            <w:vAlign w:val="bottom"/>
          </w:tcPr>
          <w:p>
            <w:pPr>
              <w:spacing w:after="0"/>
              <w:rPr>
                <w:sz w:val="20"/>
                <w:szCs w:val="20"/>
                <w:color w:val="auto"/>
              </w:rPr>
            </w:pPr>
          </w:p>
        </w:tc>
        <w:tc>
          <w:tcPr>
            <w:tcW w:w="50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b w:val="1"/>
                <w:bCs w:val="1"/>
                <w:color w:val="auto"/>
                <w:w w:val="99"/>
              </w:rPr>
              <w:t>Name of each exchange on which registered</w:t>
            </w:r>
          </w:p>
        </w:tc>
      </w:tr>
      <w:tr>
        <w:trPr>
          <w:trHeight w:val="228"/>
        </w:trPr>
        <w:tc>
          <w:tcPr>
            <w:tcW w:w="428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Class A common stock, par value $0.001 per share</w:t>
            </w:r>
          </w:p>
        </w:tc>
        <w:tc>
          <w:tcPr>
            <w:tcW w:w="120" w:type="dxa"/>
            <w:vAlign w:val="bottom"/>
          </w:tcPr>
          <w:p>
            <w:pPr>
              <w:spacing w:after="0"/>
              <w:rPr>
                <w:sz w:val="19"/>
                <w:szCs w:val="19"/>
                <w:color w:val="auto"/>
              </w:rPr>
            </w:pPr>
          </w:p>
        </w:tc>
        <w:tc>
          <w:tcPr>
            <w:tcW w:w="168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MSTR</w:t>
            </w:r>
          </w:p>
        </w:tc>
        <w:tc>
          <w:tcPr>
            <w:tcW w:w="120" w:type="dxa"/>
            <w:vAlign w:val="bottom"/>
          </w:tcPr>
          <w:p>
            <w:pPr>
              <w:spacing w:after="0"/>
              <w:rPr>
                <w:sz w:val="19"/>
                <w:szCs w:val="19"/>
                <w:color w:val="auto"/>
              </w:rPr>
            </w:pPr>
          </w:p>
        </w:tc>
        <w:tc>
          <w:tcPr>
            <w:tcW w:w="5040" w:type="dxa"/>
            <w:vAlign w:val="bottom"/>
          </w:tcPr>
          <w:p>
            <w:pPr>
              <w:jc w:val="center"/>
              <w:spacing w:after="0"/>
              <w:rPr>
                <w:sz w:val="20"/>
                <w:szCs w:val="20"/>
                <w:color w:val="auto"/>
              </w:rPr>
            </w:pPr>
            <w:r>
              <w:rPr>
                <w:rFonts w:ascii="Times New Roman" w:cs="Times New Roman" w:eastAsia="Times New Roman" w:hAnsi="Times New Roman"/>
                <w:sz w:val="18"/>
                <w:szCs w:val="18"/>
                <w:color w:val="auto"/>
                <w:w w:val="99"/>
              </w:rPr>
              <w:t>The Nasdaq Global Select Market</w:t>
            </w:r>
          </w:p>
        </w:tc>
      </w:tr>
    </w:tbl>
    <w:p>
      <w:pPr>
        <w:spacing w:after="0" w:line="179"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 230.405 of this chapter) or Rule 12b-2 of the Securities Exchange Act of 1934 (§ 240.12b-2 of this chapter).</w:t>
      </w:r>
    </w:p>
    <w:p>
      <w:pPr>
        <w:spacing w:after="0" w:line="67"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12" w:lineRule="exact"/>
        <w:rPr>
          <w:sz w:val="24"/>
          <w:szCs w:val="24"/>
          <w:color w:val="auto"/>
        </w:rPr>
      </w:pPr>
    </w:p>
    <w:p>
      <w:pPr>
        <w:ind w:right="14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5080</wp:posOffset>
            </wp:positionH>
            <wp:positionV relativeFrom="paragraph">
              <wp:posOffset>120015</wp:posOffset>
            </wp:positionV>
            <wp:extent cx="713232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7132320" cy="8890"/>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137160</wp:posOffset>
            </wp:positionV>
            <wp:extent cx="713232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7132320" cy="825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612775</wp:posOffset>
            </wp:positionV>
            <wp:extent cx="7157720" cy="4254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13" w:right="339" w:bottom="1440" w:gutter="0" w:footer="0" w:header="0"/>
        </w:sectPr>
      </w:pPr>
    </w:p>
    <w:bookmarkStart w:id="1" w:name="page2"/>
    <w:bookmarkEnd w:id="1"/>
    <w:p>
      <w:pPr>
        <w:ind w:left="20"/>
        <w:spacing w:after="0"/>
        <w:tabs>
          <w:tab w:leader="none" w:pos="1240" w:val="left"/>
        </w:tabs>
        <w:rPr>
          <w:sz w:val="20"/>
          <w:szCs w:val="20"/>
          <w:color w:val="auto"/>
        </w:rPr>
      </w:pPr>
      <w:r>
        <w:rPr>
          <w:rFonts w:ascii="Times New Roman" w:cs="Times New Roman" w:eastAsia="Times New Roman" w:hAnsi="Times New Roman"/>
          <w:sz w:val="18"/>
          <w:szCs w:val="18"/>
          <w:b w:val="1"/>
          <w:bCs w:val="1"/>
          <w:color w:val="auto"/>
        </w:rPr>
        <w:t>Item 2.02.</w:t>
      </w:r>
      <w:r>
        <w:rPr>
          <w:sz w:val="20"/>
          <w:szCs w:val="20"/>
          <w:color w:val="auto"/>
        </w:rPr>
        <w:tab/>
      </w:r>
      <w:r>
        <w:rPr>
          <w:rFonts w:ascii="Times New Roman" w:cs="Times New Roman" w:eastAsia="Times New Roman" w:hAnsi="Times New Roman"/>
          <w:sz w:val="17"/>
          <w:szCs w:val="17"/>
          <w:b w:val="1"/>
          <w:bCs w:val="1"/>
          <w:color w:val="auto"/>
        </w:rPr>
        <w:t>Results of Operations and Financial Condition.</w:t>
      </w:r>
    </w:p>
    <w:p>
      <w:pPr>
        <w:spacing w:after="0" w:line="121" w:lineRule="exact"/>
        <w:rPr>
          <w:sz w:val="20"/>
          <w:szCs w:val="20"/>
          <w:color w:val="auto"/>
        </w:rPr>
      </w:pPr>
    </w:p>
    <w:p>
      <w:pPr>
        <w:ind w:right="260"/>
        <w:spacing w:after="0" w:line="282" w:lineRule="auto"/>
        <w:rPr>
          <w:sz w:val="20"/>
          <w:szCs w:val="20"/>
          <w:color w:val="auto"/>
        </w:rPr>
      </w:pPr>
      <w:r>
        <w:rPr>
          <w:rFonts w:ascii="Times New Roman" w:cs="Times New Roman" w:eastAsia="Times New Roman" w:hAnsi="Times New Roman"/>
          <w:sz w:val="18"/>
          <w:szCs w:val="18"/>
          <w:color w:val="auto"/>
        </w:rPr>
        <w:t>On February 5, 2025, MicroStrategy Incorporated d/b/a Strategy (the “Company”) issued a press release announcing the Company’s financial results for the quarter ended December 31, 2024. A copy of this press release is attached as Exhibit 99.1 to this Current Report on Form 8-K.</w:t>
      </w:r>
    </w:p>
    <w:p>
      <w:pPr>
        <w:spacing w:after="0" w:line="162"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The information disclosed pursuant to Item 2.02 in this Current Report on Form 8-K (including Exhibit 99.1)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p>
      <w:pPr>
        <w:spacing w:after="0" w:line="176" w:lineRule="exact"/>
        <w:rPr>
          <w:sz w:val="20"/>
          <w:szCs w:val="20"/>
          <w:color w:val="auto"/>
        </w:rPr>
      </w:pPr>
    </w:p>
    <w:p>
      <w:pPr>
        <w:ind w:left="20"/>
        <w:spacing w:after="0"/>
        <w:tabs>
          <w:tab w:leader="none" w:pos="1240" w:val="left"/>
        </w:tabs>
        <w:rPr>
          <w:sz w:val="20"/>
          <w:szCs w:val="20"/>
          <w:color w:val="auto"/>
        </w:rPr>
      </w:pPr>
      <w:r>
        <w:rPr>
          <w:rFonts w:ascii="Times New Roman" w:cs="Times New Roman" w:eastAsia="Times New Roman" w:hAnsi="Times New Roman"/>
          <w:sz w:val="18"/>
          <w:szCs w:val="18"/>
          <w:b w:val="1"/>
          <w:bCs w:val="1"/>
          <w:color w:val="auto"/>
        </w:rPr>
        <w:t>Item 9.01.</w:t>
      </w:r>
      <w:r>
        <w:rPr>
          <w:sz w:val="20"/>
          <w:szCs w:val="20"/>
          <w:color w:val="auto"/>
        </w:rPr>
        <w:tab/>
      </w:r>
      <w:r>
        <w:rPr>
          <w:rFonts w:ascii="Times New Roman" w:cs="Times New Roman" w:eastAsia="Times New Roman" w:hAnsi="Times New Roman"/>
          <w:sz w:val="17"/>
          <w:szCs w:val="17"/>
          <w:b w:val="1"/>
          <w:bCs w:val="1"/>
          <w:color w:val="auto"/>
        </w:rPr>
        <w:t>Financial Statements and Exhibits.</w:t>
      </w:r>
    </w:p>
    <w:p>
      <w:pPr>
        <w:spacing w:after="0" w:line="121" w:lineRule="exact"/>
        <w:rPr>
          <w:sz w:val="20"/>
          <w:szCs w:val="20"/>
          <w:color w:val="auto"/>
        </w:rPr>
      </w:pPr>
    </w:p>
    <w:p>
      <w:pPr>
        <w:ind w:left="400" w:hanging="392"/>
        <w:spacing w:after="0"/>
        <w:tabs>
          <w:tab w:leader="none" w:pos="40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Exhibits</w:t>
      </w:r>
    </w:p>
    <w:p>
      <w:pPr>
        <w:spacing w:after="0" w:line="200" w:lineRule="exact"/>
        <w:rPr>
          <w:sz w:val="20"/>
          <w:szCs w:val="20"/>
          <w:color w:val="auto"/>
        </w:rPr>
      </w:pPr>
    </w:p>
    <w:p>
      <w:pPr>
        <w:spacing w:after="0" w:line="241"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20" w:type="dxa"/>
            <w:vAlign w:val="bottom"/>
          </w:tcPr>
          <w:p>
            <w:pPr>
              <w:spacing w:after="0"/>
              <w:rPr>
                <w:sz w:val="18"/>
                <w:szCs w:val="18"/>
                <w:color w:val="auto"/>
              </w:rPr>
            </w:pPr>
          </w:p>
        </w:tc>
        <w:tc>
          <w:tcPr>
            <w:tcW w:w="640" w:type="dxa"/>
            <w:vAlign w:val="bottom"/>
          </w:tcPr>
          <w:p>
            <w:pPr>
              <w:jc w:val="center"/>
              <w:spacing w:after="0"/>
              <w:rPr>
                <w:sz w:val="20"/>
                <w:szCs w:val="20"/>
                <w:color w:val="auto"/>
              </w:rPr>
            </w:pPr>
            <w:r>
              <w:rPr>
                <w:rFonts w:ascii="Times New Roman" w:cs="Times New Roman" w:eastAsia="Times New Roman" w:hAnsi="Times New Roman"/>
                <w:sz w:val="18"/>
                <w:szCs w:val="18"/>
                <w:color w:val="auto"/>
              </w:rPr>
              <w:t>Exhibit</w:t>
            </w:r>
          </w:p>
        </w:tc>
        <w:tc>
          <w:tcPr>
            <w:tcW w:w="480" w:type="dxa"/>
            <w:vAlign w:val="bottom"/>
          </w:tcPr>
          <w:p>
            <w:pPr>
              <w:spacing w:after="0"/>
              <w:rPr>
                <w:sz w:val="18"/>
                <w:szCs w:val="18"/>
                <w:color w:val="auto"/>
              </w:rPr>
            </w:pPr>
          </w:p>
        </w:tc>
        <w:tc>
          <w:tcPr>
            <w:tcW w:w="8840" w:type="dxa"/>
            <w:vAlign w:val="bottom"/>
          </w:tcPr>
          <w:p>
            <w:pPr>
              <w:spacing w:after="0"/>
              <w:rPr>
                <w:sz w:val="18"/>
                <w:szCs w:val="18"/>
                <w:color w:val="auto"/>
              </w:rPr>
            </w:pPr>
          </w:p>
        </w:tc>
        <w:tc>
          <w:tcPr>
            <w:tcW w:w="1240" w:type="dxa"/>
            <w:vAlign w:val="bottom"/>
          </w:tcPr>
          <w:p>
            <w:pPr>
              <w:spacing w:after="0"/>
              <w:rPr>
                <w:sz w:val="18"/>
                <w:szCs w:val="18"/>
                <w:color w:val="auto"/>
              </w:rPr>
            </w:pPr>
          </w:p>
        </w:tc>
        <w:tc>
          <w:tcPr>
            <w:tcW w:w="20" w:type="dxa"/>
            <w:vAlign w:val="bottom"/>
          </w:tcPr>
          <w:p>
            <w:pPr>
              <w:spacing w:after="0"/>
              <w:rPr>
                <w:sz w:val="18"/>
                <w:szCs w:val="18"/>
                <w:color w:val="auto"/>
              </w:rPr>
            </w:pPr>
          </w:p>
        </w:tc>
      </w:tr>
      <w:tr>
        <w:trPr>
          <w:trHeight w:val="234"/>
        </w:trPr>
        <w:tc>
          <w:tcPr>
            <w:tcW w:w="20" w:type="dxa"/>
            <w:vAlign w:val="bottom"/>
          </w:tcPr>
          <w:p>
            <w:pPr>
              <w:spacing w:after="0"/>
              <w:rPr>
                <w:sz w:val="20"/>
                <w:szCs w:val="20"/>
                <w:color w:val="auto"/>
              </w:rPr>
            </w:pPr>
          </w:p>
        </w:tc>
        <w:tc>
          <w:tcPr>
            <w:tcW w:w="6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7"/>
              </w:rPr>
              <w:t>No.</w:t>
            </w:r>
          </w:p>
        </w:tc>
        <w:tc>
          <w:tcPr>
            <w:tcW w:w="480" w:type="dxa"/>
            <w:vAlign w:val="bottom"/>
          </w:tcPr>
          <w:p>
            <w:pPr>
              <w:spacing w:after="0"/>
              <w:rPr>
                <w:sz w:val="20"/>
                <w:szCs w:val="20"/>
                <w:color w:val="auto"/>
              </w:rPr>
            </w:pPr>
          </w:p>
        </w:tc>
        <w:tc>
          <w:tcPr>
            <w:tcW w:w="1008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8"/>
                <w:szCs w:val="18"/>
                <w:color w:val="auto"/>
              </w:rPr>
              <w:t>Description</w:t>
            </w:r>
          </w:p>
        </w:tc>
        <w:tc>
          <w:tcPr>
            <w:tcW w:w="20" w:type="dxa"/>
            <w:vAlign w:val="bottom"/>
          </w:tcPr>
          <w:p>
            <w:pPr>
              <w:spacing w:after="0"/>
              <w:rPr>
                <w:sz w:val="20"/>
                <w:szCs w:val="20"/>
                <w:color w:val="auto"/>
              </w:rPr>
            </w:pPr>
          </w:p>
        </w:tc>
      </w:tr>
      <w:tr>
        <w:trPr>
          <w:trHeight w:val="385"/>
        </w:trPr>
        <w:tc>
          <w:tcPr>
            <w:tcW w:w="66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99.1</w:t>
            </w:r>
          </w:p>
        </w:tc>
        <w:tc>
          <w:tcPr>
            <w:tcW w:w="480" w:type="dxa"/>
            <w:vAlign w:val="bottom"/>
          </w:tcPr>
          <w:p>
            <w:pPr>
              <w:spacing w:after="0"/>
              <w:rPr>
                <w:sz w:val="24"/>
                <w:szCs w:val="24"/>
                <w:color w:val="auto"/>
              </w:rPr>
            </w:pPr>
          </w:p>
        </w:tc>
        <w:tc>
          <w:tcPr>
            <w:tcW w:w="10080" w:type="dxa"/>
            <w:vAlign w:val="bottom"/>
            <w:gridSpan w:val="2"/>
          </w:tcPr>
          <w:p>
            <w:pPr>
              <w:spacing w:after="0"/>
              <w:rPr>
                <w:sz w:val="20"/>
                <w:szCs w:val="20"/>
                <w:color w:val="auto"/>
              </w:rPr>
            </w:pPr>
            <w:r>
              <w:rPr>
                <w:rFonts w:ascii="Times New Roman" w:cs="Times New Roman" w:eastAsia="Times New Roman" w:hAnsi="Times New Roman"/>
                <w:sz w:val="18"/>
                <w:szCs w:val="18"/>
                <w:color w:val="0000FF"/>
              </w:rPr>
              <w:t>Press release, dated February 5, 2025, regarding the Company’s financial results for the quarter ended December 31, 2024.</w:t>
            </w:r>
          </w:p>
        </w:tc>
        <w:tc>
          <w:tcPr>
            <w:tcW w:w="20" w:type="dxa"/>
            <w:vAlign w:val="bottom"/>
          </w:tcPr>
          <w:p>
            <w:pPr>
              <w:spacing w:after="0"/>
              <w:rPr>
                <w:sz w:val="24"/>
                <w:szCs w:val="24"/>
                <w:color w:val="auto"/>
              </w:rPr>
            </w:pPr>
          </w:p>
        </w:tc>
      </w:tr>
      <w:tr>
        <w:trPr>
          <w:trHeight w:val="453"/>
        </w:trPr>
        <w:tc>
          <w:tcPr>
            <w:tcW w:w="66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104</w:t>
            </w:r>
          </w:p>
        </w:tc>
        <w:tc>
          <w:tcPr>
            <w:tcW w:w="480" w:type="dxa"/>
            <w:vAlign w:val="bottom"/>
          </w:tcPr>
          <w:p>
            <w:pPr>
              <w:spacing w:after="0"/>
              <w:rPr>
                <w:sz w:val="24"/>
                <w:szCs w:val="24"/>
                <w:color w:val="auto"/>
              </w:rPr>
            </w:pPr>
          </w:p>
        </w:tc>
        <w:tc>
          <w:tcPr>
            <w:tcW w:w="8840" w:type="dxa"/>
            <w:vAlign w:val="bottom"/>
            <w:tcBorders>
              <w:top w:val="single" w:sz="8" w:color="0000FF"/>
            </w:tcBorders>
          </w:tcPr>
          <w:p>
            <w:pPr>
              <w:spacing w:after="0"/>
              <w:rPr>
                <w:sz w:val="20"/>
                <w:szCs w:val="20"/>
                <w:color w:val="auto"/>
              </w:rPr>
            </w:pPr>
            <w:r>
              <w:rPr>
                <w:rFonts w:ascii="Times New Roman" w:cs="Times New Roman" w:eastAsia="Times New Roman" w:hAnsi="Times New Roman"/>
                <w:sz w:val="18"/>
                <w:szCs w:val="18"/>
                <w:color w:val="auto"/>
              </w:rPr>
              <w:t>Cover Page Interactive Data File (embedded within the Inline XBRL document).</w:t>
            </w:r>
          </w:p>
        </w:tc>
        <w:tc>
          <w:tcPr>
            <w:tcW w:w="1240" w:type="dxa"/>
            <w:vAlign w:val="bottom"/>
          </w:tcPr>
          <w:p>
            <w:pPr>
              <w:spacing w:after="0"/>
              <w:rPr>
                <w:sz w:val="24"/>
                <w:szCs w:val="24"/>
                <w:color w:val="auto"/>
              </w:rPr>
            </w:pPr>
          </w:p>
        </w:tc>
        <w:tc>
          <w:tcPr>
            <w:tcW w:w="20" w:type="dxa"/>
            <w:vAlign w:val="bottom"/>
          </w:tcPr>
          <w:p>
            <w:pPr>
              <w:spacing w:after="0"/>
              <w:rPr>
                <w:sz w:val="24"/>
                <w:szCs w:val="24"/>
                <w:color w:val="auto"/>
              </w:rPr>
            </w:pPr>
          </w:p>
        </w:tc>
      </w:tr>
      <w:tr>
        <w:trPr>
          <w:trHeight w:val="1843"/>
        </w:trPr>
        <w:tc>
          <w:tcPr>
            <w:tcW w:w="20" w:type="dxa"/>
            <w:vAlign w:val="bottom"/>
            <w:tcBorders>
              <w:bottom w:val="single" w:sz="8" w:color="9A9A9A"/>
            </w:tcBorders>
          </w:tcPr>
          <w:p>
            <w:pPr>
              <w:spacing w:after="0"/>
              <w:rPr>
                <w:sz w:val="24"/>
                <w:szCs w:val="24"/>
                <w:color w:val="auto"/>
              </w:rPr>
            </w:pPr>
          </w:p>
        </w:tc>
        <w:tc>
          <w:tcPr>
            <w:tcW w:w="640" w:type="dxa"/>
            <w:vAlign w:val="bottom"/>
            <w:tcBorders>
              <w:bottom w:val="single" w:sz="8" w:color="9A9A9A"/>
            </w:tcBorders>
          </w:tcPr>
          <w:p>
            <w:pPr>
              <w:spacing w:after="0"/>
              <w:rPr>
                <w:sz w:val="24"/>
                <w:szCs w:val="24"/>
                <w:color w:val="auto"/>
              </w:rPr>
            </w:pPr>
          </w:p>
        </w:tc>
        <w:tc>
          <w:tcPr>
            <w:tcW w:w="480" w:type="dxa"/>
            <w:vAlign w:val="bottom"/>
            <w:tcBorders>
              <w:bottom w:val="single" w:sz="8" w:color="9A9A9A"/>
            </w:tcBorders>
          </w:tcPr>
          <w:p>
            <w:pPr>
              <w:spacing w:after="0"/>
              <w:rPr>
                <w:sz w:val="24"/>
                <w:szCs w:val="24"/>
                <w:color w:val="auto"/>
              </w:rPr>
            </w:pPr>
          </w:p>
        </w:tc>
        <w:tc>
          <w:tcPr>
            <w:tcW w:w="8840" w:type="dxa"/>
            <w:vAlign w:val="bottom"/>
            <w:tcBorders>
              <w:bottom w:val="single" w:sz="8" w:color="9A9A9A"/>
            </w:tcBorders>
          </w:tcPr>
          <w:p>
            <w:pPr>
              <w:spacing w:after="0"/>
              <w:rPr>
                <w:sz w:val="24"/>
                <w:szCs w:val="24"/>
                <w:color w:val="auto"/>
              </w:rPr>
            </w:pPr>
          </w:p>
        </w:tc>
        <w:tc>
          <w:tcPr>
            <w:tcW w:w="12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2" w:name="page3"/>
    <w:bookmarkEnd w:id="2"/>
    <w:p>
      <w:pPr>
        <w:jc w:val="center"/>
        <w:spacing w:after="0"/>
        <w:rPr>
          <w:sz w:val="20"/>
          <w:szCs w:val="20"/>
          <w:color w:val="auto"/>
        </w:rPr>
      </w:pPr>
      <w:r>
        <w:rPr>
          <w:rFonts w:ascii="Times New Roman" w:cs="Times New Roman" w:eastAsia="Times New Roman" w:hAnsi="Times New Roman"/>
          <w:sz w:val="18"/>
          <w:szCs w:val="18"/>
          <w:b w:val="1"/>
          <w:bCs w:val="1"/>
          <w:color w:val="auto"/>
        </w:rPr>
        <w:t>SIGNATURE</w:t>
      </w:r>
    </w:p>
    <w:p>
      <w:pPr>
        <w:spacing w:after="0" w:line="175" w:lineRule="exact"/>
        <w:rPr>
          <w:sz w:val="20"/>
          <w:szCs w:val="20"/>
          <w:color w:val="auto"/>
        </w:rPr>
      </w:pPr>
    </w:p>
    <w:p>
      <w:pPr>
        <w:ind w:right="2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21"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800" w:type="dxa"/>
            <w:vAlign w:val="bottom"/>
          </w:tcPr>
          <w:p>
            <w:pPr>
              <w:spacing w:after="0"/>
              <w:rPr>
                <w:sz w:val="18"/>
                <w:szCs w:val="18"/>
                <w:color w:val="auto"/>
              </w:rPr>
            </w:pPr>
          </w:p>
        </w:tc>
        <w:tc>
          <w:tcPr>
            <w:tcW w:w="2280" w:type="dxa"/>
            <w:vAlign w:val="bottom"/>
          </w:tcPr>
          <w:p>
            <w:pPr>
              <w:spacing w:after="0"/>
              <w:rPr>
                <w:sz w:val="18"/>
                <w:szCs w:val="18"/>
                <w:color w:val="auto"/>
              </w:rPr>
            </w:pPr>
          </w:p>
        </w:tc>
        <w:tc>
          <w:tcPr>
            <w:tcW w:w="5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800" w:type="dxa"/>
            <w:vAlign w:val="bottom"/>
          </w:tcPr>
          <w:p>
            <w:pPr>
              <w:spacing w:after="0"/>
              <w:rPr>
                <w:sz w:val="20"/>
                <w:szCs w:val="20"/>
                <w:color w:val="auto"/>
              </w:rPr>
            </w:pPr>
          </w:p>
        </w:tc>
        <w:tc>
          <w:tcPr>
            <w:tcW w:w="2280" w:type="dxa"/>
            <w:vAlign w:val="bottom"/>
          </w:tcPr>
          <w:p>
            <w:pPr>
              <w:spacing w:after="0"/>
              <w:rPr>
                <w:sz w:val="20"/>
                <w:szCs w:val="20"/>
                <w:color w:val="auto"/>
              </w:rPr>
            </w:pPr>
          </w:p>
        </w:tc>
        <w:tc>
          <w:tcPr>
            <w:tcW w:w="5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Date:   February 5, 2025</w:t>
            </w:r>
          </w:p>
        </w:tc>
        <w:tc>
          <w:tcPr>
            <w:tcW w:w="7440" w:type="dxa"/>
            <w:vAlign w:val="bottom"/>
            <w:gridSpan w:val="2"/>
          </w:tcPr>
          <w:p>
            <w:pPr>
              <w:ind w:left="1860"/>
              <w:spacing w:after="0"/>
              <w:rPr>
                <w:sz w:val="20"/>
                <w:szCs w:val="20"/>
                <w:color w:val="auto"/>
              </w:rPr>
            </w:pPr>
            <w:r>
              <w:rPr>
                <w:rFonts w:ascii="Times New Roman" w:cs="Times New Roman" w:eastAsia="Times New Roman" w:hAnsi="Times New Roman"/>
                <w:sz w:val="18"/>
                <w:szCs w:val="18"/>
                <w:color w:val="auto"/>
              </w:rPr>
              <w:t>By:  /s/ Andrew Kang</w:t>
            </w:r>
          </w:p>
        </w:tc>
      </w:tr>
      <w:tr>
        <w:trPr>
          <w:trHeight w:val="218"/>
        </w:trPr>
        <w:tc>
          <w:tcPr>
            <w:tcW w:w="3800" w:type="dxa"/>
            <w:vAlign w:val="bottom"/>
          </w:tcPr>
          <w:p>
            <w:pPr>
              <w:spacing w:after="0"/>
              <w:rPr>
                <w:sz w:val="18"/>
                <w:szCs w:val="18"/>
                <w:color w:val="auto"/>
              </w:rPr>
            </w:pPr>
          </w:p>
        </w:tc>
        <w:tc>
          <w:tcPr>
            <w:tcW w:w="2280" w:type="dxa"/>
            <w:vAlign w:val="bottom"/>
          </w:tcPr>
          <w:p>
            <w:pPr>
              <w:spacing w:after="0"/>
              <w:rPr>
                <w:sz w:val="18"/>
                <w:szCs w:val="18"/>
                <w:color w:val="auto"/>
              </w:rPr>
            </w:pPr>
          </w:p>
        </w:tc>
        <w:tc>
          <w:tcPr>
            <w:tcW w:w="5160" w:type="dxa"/>
            <w:vAlign w:val="bottom"/>
            <w:tcBorders>
              <w:top w:val="single" w:sz="8" w:color="auto"/>
            </w:tcBorders>
          </w:tcPr>
          <w:p>
            <w:pPr>
              <w:ind w:left="20"/>
              <w:spacing w:after="0"/>
              <w:rPr>
                <w:sz w:val="20"/>
                <w:szCs w:val="20"/>
                <w:color w:val="auto"/>
              </w:rPr>
            </w:pPr>
            <w:r>
              <w:rPr>
                <w:rFonts w:ascii="Times New Roman" w:cs="Times New Roman" w:eastAsia="Times New Roman" w:hAnsi="Times New Roman"/>
                <w:sz w:val="18"/>
                <w:szCs w:val="18"/>
                <w:color w:val="auto"/>
              </w:rPr>
              <w:t>Andrew Kang</w:t>
            </w:r>
          </w:p>
        </w:tc>
      </w:tr>
      <w:tr>
        <w:trPr>
          <w:trHeight w:val="234"/>
        </w:trPr>
        <w:tc>
          <w:tcPr>
            <w:tcW w:w="3800" w:type="dxa"/>
            <w:vAlign w:val="bottom"/>
          </w:tcPr>
          <w:p>
            <w:pPr>
              <w:spacing w:after="0"/>
              <w:rPr>
                <w:sz w:val="20"/>
                <w:szCs w:val="20"/>
                <w:color w:val="auto"/>
              </w:rPr>
            </w:pPr>
          </w:p>
        </w:tc>
        <w:tc>
          <w:tcPr>
            <w:tcW w:w="2280" w:type="dxa"/>
            <w:vAlign w:val="bottom"/>
          </w:tcPr>
          <w:p>
            <w:pPr>
              <w:spacing w:after="0"/>
              <w:rPr>
                <w:sz w:val="20"/>
                <w:szCs w:val="20"/>
                <w:color w:val="auto"/>
              </w:rPr>
            </w:pPr>
          </w:p>
        </w:tc>
        <w:tc>
          <w:tcPr>
            <w:tcW w:w="5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Senior Executive Vice President &amp; Chief Financial Officer</w:t>
            </w:r>
          </w:p>
        </w:tc>
      </w:tr>
      <w:tr>
        <w:trPr>
          <w:trHeight w:val="979"/>
        </w:trPr>
        <w:tc>
          <w:tcPr>
            <w:tcW w:w="3800" w:type="dxa"/>
            <w:vAlign w:val="bottom"/>
            <w:tcBorders>
              <w:bottom w:val="single" w:sz="8" w:color="9A9A9A"/>
            </w:tcBorders>
          </w:tcPr>
          <w:p>
            <w:pPr>
              <w:spacing w:after="0"/>
              <w:rPr>
                <w:sz w:val="24"/>
                <w:szCs w:val="24"/>
                <w:color w:val="auto"/>
              </w:rPr>
            </w:pPr>
          </w:p>
        </w:tc>
        <w:tc>
          <w:tcPr>
            <w:tcW w:w="2280" w:type="dxa"/>
            <w:vAlign w:val="bottom"/>
            <w:tcBorders>
              <w:bottom w:val="single" w:sz="8" w:color="9A9A9A"/>
            </w:tcBorders>
          </w:tcPr>
          <w:p>
            <w:pPr>
              <w:spacing w:after="0"/>
              <w:rPr>
                <w:sz w:val="24"/>
                <w:szCs w:val="24"/>
                <w:color w:val="auto"/>
              </w:rPr>
            </w:pPr>
          </w:p>
        </w:tc>
        <w:tc>
          <w:tcPr>
            <w:tcW w:w="516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3" w:name="page4"/>
    <w:bookmarkEnd w:id="3"/>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9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Contact:</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Strategy</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Corporate Treasurer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p>
      <w:pPr>
        <w:spacing w:after="0" w:line="3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9"/>
          <w:szCs w:val="29"/>
          <w:b w:val="1"/>
          <w:bCs w:val="1"/>
          <w:color w:val="auto"/>
        </w:rPr>
        <w:t>Strategy Announces Fourth Quarter 2024 Financial Results;</w:t>
      </w:r>
    </w:p>
    <w:p>
      <w:pPr>
        <w:spacing w:after="0" w:line="4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9"/>
          <w:szCs w:val="29"/>
          <w:b w:val="1"/>
          <w:bCs w:val="1"/>
          <w:color w:val="auto"/>
        </w:rPr>
        <w:t>Holds 471,107 BTC</w:t>
      </w:r>
    </w:p>
    <w:p>
      <w:pPr>
        <w:spacing w:after="0" w:line="323" w:lineRule="exact"/>
        <w:rPr>
          <w:sz w:val="20"/>
          <w:szCs w:val="20"/>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74.3% “BTC Yield” KPI achieved in FY 2024 and 2.9% in QTD 2025</w:t>
      </w:r>
    </w:p>
    <w:p>
      <w:pPr>
        <w:spacing w:after="0" w:line="2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Revises annual BTC Yield target to a minimum of 15% for 2025</w:t>
      </w:r>
    </w:p>
    <w:p>
      <w:pPr>
        <w:spacing w:after="0" w:line="9"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Announces new “BTC Gain” and “BTC $ Gain” KPIs</w:t>
      </w:r>
    </w:p>
    <w:p>
      <w:pPr>
        <w:spacing w:after="0" w:line="9"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Announces an annual “BTC $ Gain” target of $10 billion for 2025</w:t>
      </w:r>
    </w:p>
    <w:p>
      <w:pPr>
        <w:spacing w:after="0" w:line="268" w:lineRule="exact"/>
        <w:rPr>
          <w:sz w:val="20"/>
          <w:szCs w:val="20"/>
          <w:color w:val="auto"/>
        </w:rPr>
      </w:pPr>
    </w:p>
    <w:p>
      <w:pPr>
        <w:jc w:val="both"/>
        <w:spacing w:after="0" w:line="238" w:lineRule="auto"/>
        <w:rPr>
          <w:sz w:val="20"/>
          <w:szCs w:val="20"/>
          <w:color w:val="auto"/>
        </w:rPr>
      </w:pPr>
      <w:r>
        <w:rPr>
          <w:rFonts w:ascii="Times New Roman" w:cs="Times New Roman" w:eastAsia="Times New Roman" w:hAnsi="Times New Roman"/>
          <w:sz w:val="18"/>
          <w:szCs w:val="18"/>
          <w:color w:val="auto"/>
        </w:rPr>
        <w:t>TYSONS CORNER, Va., February 5, 2025 - MicroStrategy</w:t>
      </w:r>
      <w:r>
        <w:rPr>
          <w:rFonts w:ascii="Times New Roman" w:cs="Times New Roman" w:eastAsia="Times New Roman" w:hAnsi="Times New Roman"/>
          <w:sz w:val="24"/>
          <w:szCs w:val="24"/>
          <w:color w:val="auto"/>
          <w:vertAlign w:val="superscript"/>
        </w:rPr>
        <w:t>®</w:t>
      </w:r>
      <w:r>
        <w:rPr>
          <w:rFonts w:ascii="Times New Roman" w:cs="Times New Roman" w:eastAsia="Times New Roman" w:hAnsi="Times New Roman"/>
          <w:sz w:val="18"/>
          <w:szCs w:val="18"/>
          <w:color w:val="auto"/>
        </w:rPr>
        <w:t xml:space="preserve"> Incorporated d/b/a Strategy™ (Nasdaq: MSTR) (“Strategy” or the “Company”), the largest corporate holder of bitcoin and the world’s first Bitcoin Treasury Company, today announced financial results for the three-month period ended December 31, 2024 (the fourth quarter of its 2024 fiscal year).</w:t>
      </w:r>
    </w:p>
    <w:p>
      <w:pPr>
        <w:spacing w:after="0" w:line="200"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“Earlier today, we announced that we are now Strategy, a new name that powerfully and succinctly conveys the universal and global appeal of our company. Strategy is at the cutting edge of innovation, championing the two most transformative technologies of the 21st century: Bitcoin and AI. We have completed $20 billion of our $42 billion capital plan, significantly ahead of our initial timelines, while leading the digital transformation of capital in the financial markets. Looking ahead to the rest of 2025, we are well-positioned to further enhance shareholder value by leveraging the strong support from institutional and retail investors for our strategic plan,” said Phong Le, President and Chief Executive Officer.</w:t>
      </w:r>
    </w:p>
    <w:p>
      <w:pPr>
        <w:spacing w:after="0" w:line="183"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fourth quarter of 2024 marked our largest ever increase in quarterly bitcoin holdings, culminating in the acquisition of 218,887 bitcoins acquired for $20.5 billion, since the end of Q3. We carried this strong momentum forward into Q1, raising an additional $584 million through the launch and upsize of the inaugural STRK convertible preferred offering which was supported by both institutional and retail investors. 2025 will take our evolution further with the introduction of the BTC $ Gain KPI and when we adopt fair value accounting for our bitcoin holdings with our Q1 results, transforming our financial results and bringing more transparency to the value generation and profitability of our treasury operations,” said Andrew Kang, Chief Financial Officer.</w:t>
      </w:r>
    </w:p>
    <w:p>
      <w:pPr>
        <w:spacing w:after="0" w:line="183"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On August 7, 2024, the Company completed a 10-for-1 stock split of the Company’s class A and class B common stock. All prior period share and per share information presented herein has been retroactively adjusted to reflect the stock split.</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Bitcoin Treasury Highlights</w:t>
      </w:r>
    </w:p>
    <w:p>
      <w:pPr>
        <w:spacing w:after="0" w:line="225" w:lineRule="exact"/>
        <w:rPr>
          <w:sz w:val="20"/>
          <w:szCs w:val="20"/>
          <w:color w:val="auto"/>
        </w:rPr>
      </w:pPr>
    </w:p>
    <w:p>
      <w:pPr>
        <w:jc w:val="both"/>
        <w:ind w:left="380" w:hanging="178"/>
        <w:spacing w:after="0" w:line="262" w:lineRule="auto"/>
        <w:tabs>
          <w:tab w:leader="none" w:pos="3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“BTC Yield” KPI: </w:t>
      </w:r>
      <w:r>
        <w:rPr>
          <w:rFonts w:ascii="Times New Roman" w:cs="Times New Roman" w:eastAsia="Times New Roman" w:hAnsi="Times New Roman"/>
          <w:sz w:val="18"/>
          <w:szCs w:val="18"/>
          <w:color w:val="auto"/>
        </w:rPr>
        <w:t>For the full year 2024, the Company’s BTC Yield was 74.3%. The Company is revising its 2025 target to achieve an annual BTC</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Yield of more than 15%. BTC Yield is a key performance indicator (“KPI”) that the Company uses to help assess the performance of its strategy of acquiring bitcoin in a manner the Company believes is accretive to shareholders. See “Important Information about BTC Yield, BTC Gain and BTC $ Gain KPIs” in this press release for the definition of BTC Yield and how it is calculated.</w:t>
      </w:r>
    </w:p>
    <w:p>
      <w:pPr>
        <w:spacing w:after="0" w:line="176" w:lineRule="exact"/>
        <w:rPr>
          <w:rFonts w:ascii="Times New Roman" w:cs="Times New Roman" w:eastAsia="Times New Roman" w:hAnsi="Times New Roman"/>
          <w:sz w:val="18"/>
          <w:szCs w:val="18"/>
          <w:color w:val="auto"/>
        </w:rPr>
      </w:pPr>
    </w:p>
    <w:p>
      <w:pPr>
        <w:jc w:val="both"/>
        <w:ind w:left="380" w:hanging="178"/>
        <w:spacing w:after="0" w:line="262" w:lineRule="auto"/>
        <w:tabs>
          <w:tab w:leader="none" w:pos="38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“BTC Gain” and “BTC $ Gain” KPIs: </w:t>
      </w:r>
      <w:r>
        <w:rPr>
          <w:rFonts w:ascii="Times New Roman" w:cs="Times New Roman" w:eastAsia="Times New Roman" w:hAnsi="Times New Roman"/>
          <w:sz w:val="18"/>
          <w:szCs w:val="18"/>
          <w:color w:val="auto"/>
        </w:rPr>
        <w:t>For the full year 2024, the Company’s BTC Gain was 140,538. The Company’s 2025 target is achievement</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of an annual BTC $ Gain of $10 billion. BTC Gain and BTC $ Gain are KPIs that the Company uses to assess the performance of its strategy of acquiring bitcoin in a manner the Company believes is accretive to shareholders. See “Important Information about BTC Yield, BTC Gain and BTC $ Gain KPIs” in this press release for definitions of BTC Gain and BTC $ Gain and how these metrics are calculated.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748030</wp:posOffset>
            </wp:positionV>
            <wp:extent cx="7157720" cy="4254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4" w:name="page5"/>
    <w:bookmarkEnd w:id="4"/>
    <w:p>
      <w:pPr>
        <w:jc w:val="both"/>
        <w:ind w:left="400" w:hanging="198"/>
        <w:spacing w:after="0" w:line="256"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Digital Assets: </w:t>
      </w:r>
      <w:r>
        <w:rPr>
          <w:rFonts w:ascii="Times New Roman" w:cs="Times New Roman" w:eastAsia="Times New Roman" w:hAnsi="Times New Roman"/>
          <w:sz w:val="18"/>
          <w:szCs w:val="18"/>
          <w:color w:val="auto"/>
        </w:rPr>
        <w:t>As of December 31, 2024, the carrying value of the Company’s digital assets (comprised of approximately 447,470 bitcoins) was</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$23.909 billion. As of December 31, 2024, the original cost basis and market value of the Company’s bitcoin were $27.968 billion and $41.789 billion, respectively, which reflects an average cost per bitcoin of approximately $62,503 and a market price per bitcoin of $93,390, respectively. On January 1, 2025, we adopted ASU 2023-08. ASU 2023-08 requires us to measure our bitcoin holdings at fair value in our statement of financial position, with gains and losses from change in the fair value of our bitcoin recognized in net income each reporting period. As a result of our adoption of ASU 2023-08, as of January 1, 2025, we are required to apply a cumulative-effect net increase to the opening balance of our retained earnings of $12.745 billion.</w:t>
      </w:r>
    </w:p>
    <w:p>
      <w:pPr>
        <w:spacing w:after="0" w:line="182" w:lineRule="exact"/>
        <w:rPr>
          <w:rFonts w:ascii="Times New Roman" w:cs="Times New Roman" w:eastAsia="Times New Roman" w:hAnsi="Times New Roman"/>
          <w:sz w:val="18"/>
          <w:szCs w:val="18"/>
          <w:color w:val="auto"/>
        </w:rPr>
      </w:pPr>
    </w:p>
    <w:p>
      <w:pPr>
        <w:jc w:val="both"/>
        <w:ind w:left="400" w:hanging="198"/>
        <w:spacing w:after="0" w:line="259"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At-the-Market Equity Offering Program: </w:t>
      </w:r>
      <w:r>
        <w:rPr>
          <w:rFonts w:ascii="Times New Roman" w:cs="Times New Roman" w:eastAsia="Times New Roman" w:hAnsi="Times New Roman"/>
          <w:sz w:val="18"/>
          <w:szCs w:val="18"/>
          <w:color w:val="auto"/>
        </w:rPr>
        <w:t>During the three months ended December 31, 2024, the Company issued and sold 42,308,443 shares of</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its class A common stock for aggregate net proceeds of approximately $15.1 billion. Between January 1, 2025 and February 2, 2025, the Company issued and sold an additional 6,487,654 shares of its class A common stock for aggregate net proceeds of approximately $2.4 billion. As of February 2, 2025, approximately $4.3 billion of the Company's class A common stock remained available for issuance and sale pursuant to its current at-the-market equity offering program.</w:t>
      </w:r>
    </w:p>
    <w:p>
      <w:pPr>
        <w:spacing w:after="0" w:line="179" w:lineRule="exact"/>
        <w:rPr>
          <w:rFonts w:ascii="Times New Roman" w:cs="Times New Roman" w:eastAsia="Times New Roman" w:hAnsi="Times New Roman"/>
          <w:sz w:val="18"/>
          <w:szCs w:val="18"/>
          <w:color w:val="auto"/>
        </w:rPr>
      </w:pPr>
    </w:p>
    <w:p>
      <w:pPr>
        <w:jc w:val="both"/>
        <w:ind w:left="400" w:hanging="198"/>
        <w:spacing w:after="0" w:line="268"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Issuance of 2029 Convertible Notes: </w:t>
      </w:r>
      <w:r>
        <w:rPr>
          <w:rFonts w:ascii="Times New Roman" w:cs="Times New Roman" w:eastAsia="Times New Roman" w:hAnsi="Times New Roman"/>
          <w:sz w:val="18"/>
          <w:szCs w:val="18"/>
          <w:color w:val="auto"/>
        </w:rPr>
        <w:t>In November 2024, the Company issued $3.0 billion aggregate principal amount of 0% Convertible Senior</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Notes due 2029 (the “2029 Convertible Notes”) with an initial conversion price of $672.40 per share of class A common stock, for net proceeds of approximately $2.97 billion, after deducting the initial purchasers’ discounts and commissions and estimated offering expenses.</w:t>
      </w:r>
    </w:p>
    <w:p>
      <w:pPr>
        <w:spacing w:after="0" w:line="170" w:lineRule="exact"/>
        <w:rPr>
          <w:rFonts w:ascii="Times New Roman" w:cs="Times New Roman" w:eastAsia="Times New Roman" w:hAnsi="Times New Roman"/>
          <w:sz w:val="18"/>
          <w:szCs w:val="18"/>
          <w:color w:val="auto"/>
        </w:rPr>
      </w:pPr>
    </w:p>
    <w:p>
      <w:pPr>
        <w:jc w:val="both"/>
        <w:ind w:left="400" w:hanging="198"/>
        <w:spacing w:after="0" w:line="262"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Issuance of Perpetual Strike Preferred Stock: </w:t>
      </w:r>
      <w:r>
        <w:rPr>
          <w:rFonts w:ascii="Times New Roman" w:cs="Times New Roman" w:eastAsia="Times New Roman" w:hAnsi="Times New Roman"/>
          <w:sz w:val="18"/>
          <w:szCs w:val="18"/>
          <w:color w:val="auto"/>
        </w:rPr>
        <w:t>In January 2025, the Company issued 7,300,000 shares of 8.00% Series A Perpetual Strike Preferred</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Stock (the “perpetual strike preferred stock”), at a public offering price of $80.00 per share for net proceeds of approximately $563.4 million, after deducting the underwriting discounts and commissions and estimated offering expenses. The perpetual strike preferred stock has a liquidation preference of $100 per share and accumulates cumulative dividends on the liquidation preference at a fixed rate of 8.00% per annum.</w:t>
      </w:r>
    </w:p>
    <w:p>
      <w:pPr>
        <w:spacing w:after="0" w:line="176" w:lineRule="exact"/>
        <w:rPr>
          <w:rFonts w:ascii="Times New Roman" w:cs="Times New Roman" w:eastAsia="Times New Roman" w:hAnsi="Times New Roman"/>
          <w:sz w:val="18"/>
          <w:szCs w:val="18"/>
          <w:color w:val="auto"/>
        </w:rPr>
      </w:pPr>
    </w:p>
    <w:p>
      <w:pPr>
        <w:jc w:val="both"/>
        <w:ind w:left="400" w:hanging="198"/>
        <w:spacing w:after="0" w:line="255"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Redemption and Conversions of 2027 Convertible Notes: </w:t>
      </w:r>
      <w:r>
        <w:rPr>
          <w:rFonts w:ascii="Times New Roman" w:cs="Times New Roman" w:eastAsia="Times New Roman" w:hAnsi="Times New Roman"/>
          <w:sz w:val="18"/>
          <w:szCs w:val="18"/>
          <w:color w:val="auto"/>
        </w:rPr>
        <w:t>On January 24, 2025, the Company announced that it delivered a notice of redemption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(the “Redemption Notice”) to the trustee of its 0.0% Convertible Senior Notes due 2027 (the “2027 Convertible Notes”) for redemption of all $1.05 billion in aggregate principal amount of the 2027 Convertible Notes then outstanding on February 24, 2025 (the “Redemption Date”). As a result of the delivery of the Redemption Notice, at any time prior to 5:00 p.m., New York City time, on February 20, 2025, the 2027 Notes are convertible, at the option of the holders of the 2027 Notes, at the applicable conversion rate of 7.0234 shares of the Company’s class A common stock per $1,000 principal amount (reflecting a conversion price of $142.38 per share). In the event that any holder delivers a conversion notice as provided in the indenture related to the 2027 Notes, the Company has elected to satisfy its conversion obligation with respect to each $1,000 principal amount of 2027 Notes by delivering solely shares of its class A common stock, together with cash in lieu of any fractional shares.</w:t>
      </w:r>
    </w:p>
    <w:p>
      <w:pPr>
        <w:spacing w:after="0" w:line="184" w:lineRule="exact"/>
        <w:rPr>
          <w:rFonts w:ascii="Times New Roman" w:cs="Times New Roman" w:eastAsia="Times New Roman" w:hAnsi="Times New Roman"/>
          <w:sz w:val="18"/>
          <w:szCs w:val="18"/>
          <w:color w:val="auto"/>
        </w:rPr>
      </w:pPr>
    </w:p>
    <w:p>
      <w:pPr>
        <w:jc w:val="both"/>
        <w:ind w:left="400" w:hanging="198"/>
        <w:spacing w:after="0" w:line="268" w:lineRule="auto"/>
        <w:tabs>
          <w:tab w:leader="none" w:pos="40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Increase in Authorized Class A Common Stock and Preferred Stock</w:t>
      </w:r>
      <w:r>
        <w:rPr>
          <w:rFonts w:ascii="Times New Roman" w:cs="Times New Roman" w:eastAsia="Times New Roman" w:hAnsi="Times New Roman"/>
          <w:sz w:val="18"/>
          <w:szCs w:val="18"/>
          <w:color w:val="auto"/>
        </w:rPr>
        <w:t>. In January 2025, the Company’s stockholders approved an amendment to</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the Company’s Certificate of Incorporation increasing the number of authorized shares of class A common Stock from 330,000,000 to 10,330,000,000 and the number of authorized shares of preferred stock from 5,000,000 to 1,005,000,000.</w:t>
      </w:r>
    </w:p>
    <w:p>
      <w:pPr>
        <w:spacing w:after="0" w:line="17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Q4 2024 Software Business Highlights</w:t>
      </w:r>
    </w:p>
    <w:p>
      <w:pPr>
        <w:spacing w:after="0" w:line="225" w:lineRule="exact"/>
        <w:rPr>
          <w:sz w:val="20"/>
          <w:szCs w:val="20"/>
          <w:color w:val="auto"/>
        </w:rPr>
      </w:pPr>
    </w:p>
    <w:p>
      <w:pPr>
        <w:ind w:left="380" w:hanging="178"/>
        <w:spacing w:after="0"/>
        <w:tabs>
          <w:tab w:leader="none" w:pos="380"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Revenues:</w:t>
      </w:r>
    </w:p>
    <w:p>
      <w:pPr>
        <w:spacing w:after="0" w:line="121" w:lineRule="exact"/>
        <w:rPr>
          <w:sz w:val="20"/>
          <w:szCs w:val="20"/>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Total revenues were $120.7 million, a 3.0% decrease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Subscription Services Revenues were $31.9 million, a 48.4% increase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Product licenses and subscription services revenues were $47.2 million, a 18.3% increase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Product support revenues were $58.4 million, an 10.8% decrease year-over-year.</w:t>
      </w:r>
    </w:p>
    <w:p>
      <w:pPr>
        <w:spacing w:after="0" w:line="117" w:lineRule="exact"/>
        <w:rPr>
          <w:rFonts w:ascii="Times New Roman" w:cs="Times New Roman" w:eastAsia="Times New Roman" w:hAnsi="Times New Roman"/>
          <w:sz w:val="18"/>
          <w:szCs w:val="18"/>
          <w:color w:val="auto"/>
        </w:rPr>
      </w:pPr>
    </w:p>
    <w:p>
      <w:pPr>
        <w:ind w:left="1540" w:hanging="514"/>
        <w:spacing w:after="0"/>
        <w:tabs>
          <w:tab w:leader="none" w:pos="1540" w:val="left"/>
        </w:tabs>
        <w:numPr>
          <w:ilvl w:val="1"/>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Other services revenues were $15.1 million, an 20.8% decrease year-over-year.</w:t>
      </w:r>
    </w:p>
    <w:p>
      <w:pPr>
        <w:spacing w:after="0" w:line="221" w:lineRule="exact"/>
        <w:rPr>
          <w:rFonts w:ascii="Times New Roman" w:cs="Times New Roman" w:eastAsia="Times New Roman" w:hAnsi="Times New Roman"/>
          <w:sz w:val="18"/>
          <w:szCs w:val="18"/>
          <w:color w:val="auto"/>
        </w:rPr>
      </w:pPr>
    </w:p>
    <w:p>
      <w:pPr>
        <w:ind w:left="380" w:hanging="178"/>
        <w:spacing w:after="0" w:line="286" w:lineRule="auto"/>
        <w:tabs>
          <w:tab w:leader="none" w:pos="38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Gross Profit: </w:t>
      </w:r>
      <w:r>
        <w:rPr>
          <w:rFonts w:ascii="Times New Roman" w:cs="Times New Roman" w:eastAsia="Times New Roman" w:hAnsi="Times New Roman"/>
          <w:sz w:val="18"/>
          <w:szCs w:val="18"/>
          <w:color w:val="auto"/>
        </w:rPr>
        <w:t>Gross profit was $86.5 million, representing a 71.7% gross margin, compared to $96.3 million, representing a gross margin of 77.3%,</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for the fourth quarter of 2023.</w:t>
      </w:r>
    </w:p>
    <w:p>
      <w:pPr>
        <w:spacing w:after="0" w:line="15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Other Q4 Financial Highlights</w:t>
      </w:r>
    </w:p>
    <w:p>
      <w:pPr>
        <w:spacing w:after="0" w:line="225" w:lineRule="exact"/>
        <w:rPr>
          <w:sz w:val="20"/>
          <w:szCs w:val="20"/>
          <w:color w:val="auto"/>
        </w:rPr>
      </w:pPr>
    </w:p>
    <w:p>
      <w:pPr>
        <w:ind w:left="380" w:hanging="178"/>
        <w:spacing w:after="0" w:line="286" w:lineRule="auto"/>
        <w:tabs>
          <w:tab w:leader="none" w:pos="380"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Operating Expenses: </w:t>
      </w:r>
      <w:r>
        <w:rPr>
          <w:rFonts w:ascii="Times New Roman" w:cs="Times New Roman" w:eastAsia="Times New Roman" w:hAnsi="Times New Roman"/>
          <w:sz w:val="18"/>
          <w:szCs w:val="18"/>
          <w:color w:val="auto"/>
        </w:rPr>
        <w:t>Operating expenses were $1.103 billion, a 693.2% increase year-over-year. Operating expenses include impairment losses 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the Company’s digital assets, which were $1.006 billion, compared to $39.2 million in the fourth quarter of 2023.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734060</wp:posOffset>
            </wp:positionV>
            <wp:extent cx="7157720" cy="4254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5" w:name="page6"/>
    <w:bookmarkEnd w:id="5"/>
    <w:p>
      <w:pPr>
        <w:jc w:val="both"/>
        <w:ind w:left="380" w:hanging="178"/>
        <w:spacing w:after="0" w:line="268" w:lineRule="auto"/>
        <w:tabs>
          <w:tab w:leader="none" w:pos="38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Loss from Operations and Net (Loss) Income: </w:t>
      </w:r>
      <w:r>
        <w:rPr>
          <w:rFonts w:ascii="Times New Roman" w:cs="Times New Roman" w:eastAsia="Times New Roman" w:hAnsi="Times New Roman"/>
          <w:sz w:val="18"/>
          <w:szCs w:val="18"/>
          <w:color w:val="auto"/>
        </w:rPr>
        <w:t>Loss from operations was $1.016 billion, compared to $42.8 million for the fourth quarter of 2023.</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Net loss was $670.8 million, or $3.03 per share on a diluted basis, as compared to net income of $89.1 million, or $0.50 per share on a diluted basis, for the fourth quarter of 2023.</w:t>
      </w:r>
    </w:p>
    <w:p>
      <w:pPr>
        <w:spacing w:after="0" w:line="170" w:lineRule="exact"/>
        <w:rPr>
          <w:rFonts w:ascii="Times New Roman" w:cs="Times New Roman" w:eastAsia="Times New Roman" w:hAnsi="Times New Roman"/>
          <w:sz w:val="18"/>
          <w:szCs w:val="18"/>
          <w:color w:val="auto"/>
        </w:rPr>
      </w:pPr>
    </w:p>
    <w:p>
      <w:pPr>
        <w:ind w:left="400" w:hanging="198"/>
        <w:spacing w:after="0" w:line="286" w:lineRule="auto"/>
        <w:tabs>
          <w:tab w:leader="none" w:pos="40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b w:val="1"/>
          <w:bCs w:val="1"/>
          <w:color w:val="auto"/>
        </w:rPr>
        <w:t xml:space="preserve">Cash and Cash Equivalents: </w:t>
      </w:r>
      <w:r>
        <w:rPr>
          <w:rFonts w:ascii="Times New Roman" w:cs="Times New Roman" w:eastAsia="Times New Roman" w:hAnsi="Times New Roman"/>
          <w:sz w:val="18"/>
          <w:szCs w:val="18"/>
          <w:color w:val="auto"/>
        </w:rPr>
        <w:t>As of December 31, 2024, the Company had cash and cash equivalents of $38.1 million, as compared to $46.8 million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as of December 31, 2023, a decrease of $8.7 million.</w:t>
      </w:r>
    </w:p>
    <w:p>
      <w:pPr>
        <w:spacing w:after="0" w:line="15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tables provided at the end of this press release include a reconciliation of the most directly comparable financial measures prepared in accordance with generally accepted accounting principles in the United States (“GAAP”) to non-GAAP financial measures for the three and twelve months ended December 31, 2024 and 2023. An explanation of non-GAAP financial measures is also included under the heading “Non-GAAP Financial Measures” below. Additional non-GAAP financial measures are included in Strategy’s “Q4 2024 Earnings Presentation,” which will be available under the “Events and Presentations” section of Strategy’s investor relations website at https://www.strategy.com/investor-relations.</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Strategy Dashboard</w:t>
      </w:r>
    </w:p>
    <w:p>
      <w:pPr>
        <w:spacing w:after="0" w:line="22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Strategy today announced that it is launching a dashboard on its website, to be available at strategy.com, as a disclosure channel to provide broad, non-exclusionary distribution of information regarding the Company to the public. Some of the information distributed through the website dashboard may be considered material information. The website dashboard will include information regarding market data for our securities and bitcoin, BTC Yield, BTC Gain and BTC $ Gain KPIs</w:t>
      </w:r>
      <w:r>
        <w:rPr>
          <w:rFonts w:ascii="Times New Roman" w:cs="Times New Roman" w:eastAsia="Times New Roman" w:hAnsi="Times New Roman"/>
          <w:sz w:val="18"/>
          <w:szCs w:val="18"/>
          <w:b w:val="1"/>
          <w:bCs w:val="1"/>
          <w:color w:val="auto"/>
        </w:rPr>
        <w:t>,</w:t>
      </w:r>
      <w:r>
        <w:rPr>
          <w:rFonts w:ascii="Times New Roman" w:cs="Times New Roman" w:eastAsia="Times New Roman" w:hAnsi="Times New Roman"/>
          <w:sz w:val="18"/>
          <w:szCs w:val="18"/>
          <w:color w:val="auto"/>
        </w:rPr>
        <w:t xml:space="preserve"> bitcoin purchases, bitcoin holdings, capital markets activity, and other related information. Investors and others are encouraged to regularly review the information that the Company makes public via the website dashboard.</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Conference Call</w:t>
      </w:r>
    </w:p>
    <w:p>
      <w:pPr>
        <w:spacing w:after="0" w:line="27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Strategy will be discussing its fourth quarter 2024 financial results on a live Video Webinar today beginning at approximately 5:00 p.m. ET. The live Video Webinar and accompanying presentation materials will be available under the “Events and Presentations” section of Strategy’s investor relations website at https://www.strategy.com/investor-relations. Log-in instructions will be available after registering for the event. An archived replay of the event will be available beginning approximately two hours after the call concludes.</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Strategy</w:t>
      </w:r>
    </w:p>
    <w:p>
      <w:pPr>
        <w:spacing w:after="0" w:line="22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MicroStrategy Incorporated d/b/a Strategy (Nasdaq: MSTR)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fixed-income instruments. 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9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Strategy, MicroStrategy, and Intelligence Everywhere are either trademarks or registered trademarks of MicroStrategy Incorporated in the United States and certain other countries. Other product and company names mentioned herein may be the trademarks of their respective owners.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Non-GAAP Financial Measures</w:t>
      </w:r>
    </w:p>
    <w:p>
      <w:pPr>
        <w:spacing w:after="0" w:line="22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Strategy is providing supplemental financial measures for (i) non-GAAP loss from operations that excludes the impact of share-based compensation expense, (ii) non-GAAP net (loss) income and non-GAAP diluted (loss) earnings per share that exclude the impacts of share-based compensation expense, interest expense arising from the amortization of debt issuance costs related to Strategy’s long-term debt, gains and losses on debt extinguishment, and related income tax effects, and (iii) non-GAAP constant currency revenues that exclude certain foreign currency exchange rate fluctuations. These supplemental financial measures are not measurements of financial performance under GAAP and, as a result, these supplemental financial measures may not be comparable to similarly titled measures of other companies. Management uses these non-GAAP financial measures internally to help understand, manage, and evaluate business performance and to help make operating decisions.</w:t>
      </w:r>
    </w:p>
    <w:p>
      <w:pPr>
        <w:spacing w:after="0" w:line="18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Strategy believes that these non-GAAP financial measures are also useful to investors and analysts in comparing its performance across reporting periods on a consistent basis. The first supplemental financial measure excludes a significant non-cash expense that Strategy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735965</wp:posOffset>
            </wp:positionV>
            <wp:extent cx="7157720" cy="4254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6" w:name="page7"/>
    <w:bookmarkEnd w:id="6"/>
    <w:p>
      <w:pPr>
        <w:jc w:val="both"/>
        <w:spacing w:after="0" w:line="255" w:lineRule="auto"/>
        <w:rPr>
          <w:sz w:val="20"/>
          <w:szCs w:val="20"/>
          <w:color w:val="auto"/>
        </w:rPr>
      </w:pPr>
      <w:r>
        <w:rPr>
          <w:rFonts w:ascii="Times New Roman" w:cs="Times New Roman" w:eastAsia="Times New Roman" w:hAnsi="Times New Roman"/>
          <w:sz w:val="18"/>
          <w:szCs w:val="18"/>
          <w:color w:val="auto"/>
        </w:rPr>
        <w:t>believes is not reflective of its general business performance, and for which the accounting requires management judgment and the resulting share-based compensation expense could vary significantly in comparison to other companies. The second set of supplemental financial measures excludes the impacts of (i) share-based compensation expense, (ii) non-cash interest expense arising from the amortization of debt issuance costs related to Strategy’s long-term debt, (iii) gains and losses on debt extinguishment, and (iv) related income tax effects. The third set of supplemental financial measures excludes changes resulting from certain fluctuations in foreign currency exchange rates so that results may be compared to the same period in the prior year on a non-GAAP constant currency basis. Strategy believes the use of these non-GAAP financial measures can also facilitate comparison of Strategy’s operating results to those of its competitors.</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Important Information About BTC Yield, BTC Gain and BTC $ Gain KPIs</w:t>
      </w:r>
    </w:p>
    <w:p>
      <w:pPr>
        <w:spacing w:after="0" w:line="225"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color w:val="auto"/>
        </w:rPr>
        <w:t xml:space="preserve">BTC Yield </w:t>
      </w:r>
      <w:r>
        <w:rPr>
          <w:rFonts w:ascii="Times New Roman" w:cs="Times New Roman" w:eastAsia="Times New Roman" w:hAnsi="Times New Roman"/>
          <w:sz w:val="18"/>
          <w:szCs w:val="18"/>
          <w:color w:val="auto"/>
        </w:rPr>
        <w:t>is a key performance indicator (“KPI”) that represents the percentage change, during a period, of the ratio between the Company’s bitcoin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holdings and its Assumed Diluted Shares Outstanding, where:</w:t>
      </w:r>
    </w:p>
    <w:p>
      <w:pPr>
        <w:spacing w:after="0" w:line="51" w:lineRule="exact"/>
        <w:rPr>
          <w:sz w:val="20"/>
          <w:szCs w:val="20"/>
          <w:color w:val="auto"/>
        </w:rPr>
      </w:pPr>
    </w:p>
    <w:p>
      <w:pPr>
        <w:jc w:val="both"/>
        <w:ind w:left="1020" w:hanging="503"/>
        <w:spacing w:after="0" w:line="258" w:lineRule="auto"/>
        <w:tabs>
          <w:tab w:leader="none" w:pos="1020"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refers to the aggregate of our Basic Shares Outstanding as of the end of each period plus all additional shares that would result from the assumed conversion of all outstanding convertible notes and convertible preferred stock, exercise of all outstanding stock option awards, and settlement of all outstanding restricted stock units and performance stock units.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75" w:lineRule="exact"/>
        <w:rPr>
          <w:rFonts w:ascii="Times New Roman" w:cs="Times New Roman" w:eastAsia="Times New Roman" w:hAnsi="Times New Roman"/>
          <w:sz w:val="18"/>
          <w:szCs w:val="18"/>
          <w:color w:val="auto"/>
        </w:rPr>
      </w:pPr>
    </w:p>
    <w:p>
      <w:pPr>
        <w:jc w:val="both"/>
        <w:ind w:left="1020" w:hanging="503"/>
        <w:spacing w:after="0" w:line="261" w:lineRule="auto"/>
        <w:tabs>
          <w:tab w:leader="none" w:pos="1020" w:val="left"/>
        </w:tabs>
        <w:numPr>
          <w:ilvl w:val="0"/>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Shares Outstanding” reflects the actual class A common stock and class B common stock outstanding as of the dates presented. For purposes of this calculation, outstanding shares of such stock are deemed to include shares, if any, that were sold under at-the-market equity offering programs or that were to be issued pursuant to options that had been exercised or restricted stock units that have vested, but which in each case were pending issuance as of the dates presented.</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 xml:space="preserve">BTC Gain </w:t>
      </w:r>
      <w:r>
        <w:rPr>
          <w:rFonts w:ascii="Times New Roman" w:cs="Times New Roman" w:eastAsia="Times New Roman" w:hAnsi="Times New Roman"/>
          <w:sz w:val="18"/>
          <w:szCs w:val="18"/>
          <w:color w:val="auto"/>
        </w:rPr>
        <w:t>is a KPI that represents the number of bitcoins held by the Company at the beginning of a period multiplied by the BTC Yield for such period.</w:t>
      </w:r>
    </w:p>
    <w:p>
      <w:pPr>
        <w:spacing w:after="0" w:line="225"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color w:val="auto"/>
        </w:rPr>
        <w:t xml:space="preserve">BTC $ Gain </w:t>
      </w:r>
      <w:r>
        <w:rPr>
          <w:rFonts w:ascii="Times New Roman" w:cs="Times New Roman" w:eastAsia="Times New Roman" w:hAnsi="Times New Roman"/>
          <w:sz w:val="18"/>
          <w:szCs w:val="18"/>
          <w:color w:val="auto"/>
        </w:rPr>
        <w:t>is a KPI that represents the dollar value of the BTC Gain calculated by multiplying the BTC Gain by the market price of bitcoin as of 4:00pm</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ET on the Coinbase exchange on the last day of the applicable period. The Company has selected 4:00pm ET on the last day of the applicable period as the date and time of determination of the market price of bitcoin solely for the purpose of facilitating this illustrative calculation.</w:t>
      </w:r>
    </w:p>
    <w:p>
      <w:pPr>
        <w:spacing w:after="0" w:line="1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uses BTC Yield, BTC Gain and BTC $ Gain as KPIs to help assess the performance of its strategy of acquiring bitcoin in a manner the Company believes is accretive to shareholders. The Company believes these KPIs can be used to supplement an investor’s understanding of the Company’s decision of the manner in which it funds the purchase of bitcoin and the value created in a period by:</w:t>
      </w:r>
    </w:p>
    <w:p>
      <w:pPr>
        <w:spacing w:after="0" w:line="68" w:lineRule="exact"/>
        <w:rPr>
          <w:sz w:val="20"/>
          <w:szCs w:val="20"/>
          <w:color w:val="auto"/>
        </w:rPr>
      </w:pPr>
    </w:p>
    <w:p>
      <w:pPr>
        <w:ind w:left="1020" w:hanging="503"/>
        <w:spacing w:after="0" w:line="282" w:lineRule="auto"/>
        <w:tabs>
          <w:tab w:leader="none" w:pos="102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Yield, comparing the rate of change in the Company’s bitcoin holdings as compared to the rate of change in the number of shares of its common stock and instruments convertible to common stock;</w:t>
      </w:r>
    </w:p>
    <w:p>
      <w:pPr>
        <w:spacing w:after="0" w:line="5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Gain, hypothetically expressing the change reflected in the BTC Yield metric as if it reflected an increase in the amount of bitcoin held at the end the applicable period as compared to the beginning of such period; and</w:t>
      </w:r>
    </w:p>
    <w:p>
      <w:pPr>
        <w:spacing w:after="0" w:line="53"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case of BTC $ Gain, further expressing that gain as a dollar value by multiplying that bitcoin-denominated gain by the market price of bitcoin at the end of the applicable period as described above.</w:t>
      </w:r>
    </w:p>
    <w:p>
      <w:pPr>
        <w:spacing w:after="0" w:line="16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When the Company uses these KPIs, management also takes into account the various limitations of these metrics, including that they do not take into account debt, preferred stock and other liabilities and claims on company assets that would be senior to common equity and that they assume that all indebtedness will be refinanced or, in the case of the Company’s senior convertible debt instruments and convertible preferred stock, converted into shares of common stock in accordance with their respective terms.</w:t>
      </w:r>
    </w:p>
    <w:p>
      <w:pPr>
        <w:spacing w:after="0" w:line="1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Additionally, BTC Yield is not, and should not be understood as, an operating performance measure or a financial or liquidity measure. In particular, BTC Yield is not equivalent to “yield” in the traditional financial context. It is not a measure of the return on investment the Company’s shareholders may have achieved historically or can achieve in the future by purchasing stock of the Company, or a measure of income generated by the Company’s operations or its bitcoin holdings, return on investment on its bitcoin holdings, or any other similar financial measure of the performance of its business or assets.</w:t>
      </w:r>
    </w:p>
    <w:p>
      <w:pPr>
        <w:spacing w:after="0" w:line="180"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BTC Gain and BTC $ Gain are not, and should not be understood as, operating performance measures or financial or liquidity measures. In particular, BTC Gain and BTC $ Gain are not equivalent to “gain” in the traditional financial context. They also are not measures of the return on investment the Company’s shareholders may have achieved historically or can achieve in the future by purchasing stock</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744855</wp:posOffset>
            </wp:positionV>
            <wp:extent cx="7157720" cy="4254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5" w:right="339" w:bottom="1440" w:gutter="0" w:footer="0" w:header="0"/>
        </w:sectPr>
      </w:pPr>
    </w:p>
    <w:bookmarkStart w:id="7" w:name="page8"/>
    <w:bookmarkEnd w:id="7"/>
    <w:p>
      <w:pPr>
        <w:jc w:val="both"/>
        <w:ind w:right="20"/>
        <w:spacing w:after="0" w:line="261" w:lineRule="auto"/>
        <w:rPr>
          <w:sz w:val="20"/>
          <w:szCs w:val="20"/>
          <w:color w:val="auto"/>
        </w:rPr>
      </w:pPr>
      <w:r>
        <w:rPr>
          <w:rFonts w:ascii="Times New Roman" w:cs="Times New Roman" w:eastAsia="Times New Roman" w:hAnsi="Times New Roman"/>
          <w:sz w:val="18"/>
          <w:szCs w:val="18"/>
          <w:color w:val="auto"/>
        </w:rPr>
        <w:t>of the Company, or measures of income generated by the Company’s operations or its bitcoin holdings, return on investment on its bitcoin holdings, or any other similar financial measure of the performance of its business or assets. It should also be understood that BTC $ Gain does not represent a fair value gain of the Company’s bitcoin holdings, and BTC $ Gain may be positive during periods when the Company has incurred fair value losses on its bitcoin holdings.</w:t>
      </w:r>
    </w:p>
    <w:p>
      <w:pPr>
        <w:spacing w:after="0" w:line="1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trading price of the Company’s class A common stock is informed by numerous factors in addition to the amount of bitcoins the Company holds and number of actual or potential shares of its stock outstanding, and as a result, the market value of the Company’s shares may trade at a discount or a premium relative to the market value of the bitcoin the Company holds, and neither BTC Yield, BTC Gain nor BTC $ Gain are indicative or predictive of the trading price of the Company’s securities.</w:t>
      </w:r>
    </w:p>
    <w:p>
      <w:pPr>
        <w:spacing w:after="0" w:line="180"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noted above, these KPIs are narrow in their purpose and are used by management to assist it in assessing whether the Company is using equity capital in a manner accretive to shareholders solely as it pertains to its bitcoin holdings.</w:t>
      </w:r>
    </w:p>
    <w:p>
      <w:pPr>
        <w:spacing w:after="0" w:line="16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calculating these KPIs, the Company does not take into account the source of capital used for the acquisition of its bitcoin. The Company notes in particular, it has acquired bitcoin using proceeds from the offering of its 6.125% Senior Secured Notes due 2028 (which the Company has since redeemed), which were not convertible to shares of the Company’s common stock, as well as from the offerings of its convertible senior notes, which at the time of issuance had, and may from time-to-time thereafter have, conversion prices above the current trading prices of the Company’s common stock, or as to which the holders of such convertible notes may not then be entitled to exercise the conversion rights of the notes. Such offerings have had the effect of increasing the BTC Yield, BTC Gain and BTC $ Gain without taking into account the corresponding debt. Conversely, if any of the Company’s convertible notes mature or are redeemed without being converted into common stock, the Company may be required to sell shares in quantities greater than the shares such notes are convertible into or generate cash proceeds from the sale of bitcoin, either of which would have the effect of decreasing the BTC Yield, BTC Gain and BTC $ Gain due to changes in the Company’s bitcoin holdings and shares in ways that were not contemplated by the assumptions in calculating BTC Yield, BTC Gain and BTC $ Gain, respectively. Accordingly, these metrics might overstate or understate the accretive nature of the Company’s use of equity capital to buy bitcoin because not all bitcoin may be acquired using proceeds of equity offerings and not all issuances of equity may involve the acquisition of bitcoin.</w:t>
      </w:r>
    </w:p>
    <w:p>
      <w:pPr>
        <w:spacing w:after="0" w:line="190"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addition, we are required to pay dividends with respect to our perpetual strike preferred stock in perpetuity. We could pay these dividends with cash or by issuing shares of class A common stock. If we issue shares of class A common stock in lieu of paying dividends in cash, or if we issue shares of class A common stock for cash to fund the payment of dividends in cash, then we would experience an increase in our Assumed Diluted Shares Outstanding without a corresponding increase in our bitcoin holdings and a decrease in BTC Yield, BTC Gain and BTC $ Gain for the period in which such issuance of shares of class A common stock occurred.</w:t>
      </w:r>
    </w:p>
    <w:p>
      <w:pPr>
        <w:spacing w:after="0" w:line="183"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has historically not paid any dividends on its shares of class A common stock, and by presenting these KPIs the Company makes no suggestion that it intends to do so in the future. Ownership of the Company’s securities, including its class A common stock and preferred stock, does not represent an ownership interest in the bitcoin the Company holds.</w:t>
      </w:r>
    </w:p>
    <w:p>
      <w:pPr>
        <w:spacing w:after="0" w:line="176"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determines its KPI targets based on its history and future goals.  The Company’s ability to achieve positive BTC Yield, BTC Gain, or BTC $ Gain may depend on a variety of factors, including its ability to generate cash from operations in excess of its fixed charges and other expenses, as well as factors outside of its control, such as the price of bitcoin, and the availability of debt and equity financing on favorable terms. Past performance is not indicative of future results.</w:t>
      </w:r>
    </w:p>
    <w:p>
      <w:pPr>
        <w:spacing w:after="0" w:line="180"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Investors should rely on the financial statements and other disclosures contained in the Company’s SEC filings. These KPIs are merely supplements, not a substitute. They should be used only by sophisticated investors who understand their limited purpose and many limitations.</w:t>
      </w:r>
    </w:p>
    <w:p>
      <w:pPr>
        <w:spacing w:after="0" w:line="3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22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This press release may include statements that may constitute “forward-looking statements,” including estimates of future business prospects or financial results, our targets relating to our BTC Yield, BTC Gain and BTC $ Gain, and statements containing the words “believe,” “estimate,” “project,” “expect,” “will,” or similar expressions. Forward-looking statements inherently involve risks and uncertainties that could cause actual results of MicroStrategy Incorporated and its subsidiaries (collectively, the “Company”) to differ materially from the forward-looking statements. Factors that could contribute to such differences include: fluctuations in the market price of bitcoin and any associated impairment charges that the Company may incur as a result of a decrease in the market price of bitcoin below the value at which the Company’s bitcoins are carried on its balance sheet; the availability of debt and equity financing on favorable terms; gains or losses on any sales of bitcoins; changes in the accounting treatment relating to the Company’s bitcoin holdings; changes in securities laws or other laws or regulations, or the adoption of new laws or regulations, relating to bitcoin that adversely affect the price of bitcoin or the Company’s ability to transact in or own bitcoin; the impact of the availability of spot exchange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753110</wp:posOffset>
            </wp:positionV>
            <wp:extent cx="7157720" cy="4254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5" w:right="339" w:bottom="1440" w:gutter="0" w:footer="0" w:header="0"/>
        </w:sectPr>
      </w:pPr>
    </w:p>
    <w:bookmarkStart w:id="8" w:name="page9"/>
    <w:bookmarkEnd w:id="8"/>
    <w:p>
      <w:pPr>
        <w:jc w:val="both"/>
        <w:spacing w:after="0" w:line="253" w:lineRule="auto"/>
        <w:rPr>
          <w:sz w:val="20"/>
          <w:szCs w:val="20"/>
          <w:color w:val="auto"/>
        </w:rPr>
      </w:pPr>
      <w:r>
        <w:rPr>
          <w:rFonts w:ascii="Times New Roman" w:cs="Times New Roman" w:eastAsia="Times New Roman" w:hAnsi="Times New Roman"/>
          <w:sz w:val="18"/>
          <w:szCs w:val="18"/>
          <w:color w:val="auto"/>
        </w:rPr>
        <w:t>traded products for bitcoin and other digital assets; a decrease in liquidity in the markets in which bitcoin is traded; security breaches, cyberattacks, unauthorized access, loss of private keys, fraud or other circumstances or events that result in the loss of the Company’s bitcoins; impacts to the price and rate of adoption of bitcoin associated with financial difficulties and bankruptcies of various participants in the digital asset industry; the level and terms of the Company’s substantial indebtedness and its ability to service such debt; the extent and timing of market acceptance of the Company’s new product offerings; continued acceptance of the Company’s other products in the marketplace; the Company’s ability to recognize revenue or deferred revenue through delivery of products or satisfactory performance of services; the timing of significant orders; delays in or the inability of the Company to develop or ship new products; customers continuing to shift from a product license model to a cloud subscription model, which may delay the Company’s ability to recognize revenue; fluctuations in tax benefits or provisions; changes in the market price of bitcoin as of period-end and their effect on our deferred tax assets, related valuation allowance, and tax expense; other potentially adverse tax consequences, including the potential taxation of unrealized gains on our bitcoin holdings; competitive factors; general economic conditions, including levels of inflation and interest rates; currency fluctuations; and other risks detailed in the Company’s registration statements and periodic and current reports filed with the Securities and Exchange Commission (“SEC”). The Company undertakes no obligation to update these forward-looking statements for revisions or changes after the date of this release.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753745</wp:posOffset>
            </wp:positionV>
            <wp:extent cx="7157720" cy="4254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5" w:right="339" w:bottom="1440" w:gutter="0" w:footer="0" w:header="0"/>
        </w:sectPr>
      </w:pPr>
    </w:p>
    <w:bookmarkStart w:id="9" w:name="page10"/>
    <w:bookmarkEnd w:id="9"/>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STATEMENTS OF OPERATIONS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18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594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2520" w:type="dxa"/>
            <w:vAlign w:val="bottom"/>
            <w:gridSpan w:val="5"/>
          </w:tcPr>
          <w:p>
            <w:pPr>
              <w:jc w:val="right"/>
              <w:ind w:right="80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60" w:type="dxa"/>
            <w:vAlign w:val="bottom"/>
          </w:tcPr>
          <w:p>
            <w:pPr>
              <w:spacing w:after="0"/>
              <w:rPr>
                <w:sz w:val="13"/>
                <w:szCs w:val="13"/>
                <w:color w:val="auto"/>
              </w:rPr>
            </w:pPr>
          </w:p>
        </w:tc>
        <w:tc>
          <w:tcPr>
            <w:tcW w:w="2440" w:type="dxa"/>
            <w:vAlign w:val="bottom"/>
            <w:gridSpan w:val="5"/>
          </w:tcPr>
          <w:p>
            <w:pPr>
              <w:jc w:val="right"/>
              <w:ind w:right="660"/>
              <w:spacing w:after="0"/>
              <w:rPr>
                <w:sz w:val="20"/>
                <w:szCs w:val="20"/>
                <w:color w:val="auto"/>
              </w:rPr>
            </w:pPr>
            <w:r>
              <w:rPr>
                <w:rFonts w:ascii="Times New Roman" w:cs="Times New Roman" w:eastAsia="Times New Roman" w:hAnsi="Times New Roman"/>
                <w:sz w:val="14"/>
                <w:szCs w:val="14"/>
                <w:b w:val="1"/>
                <w:bCs w:val="1"/>
                <w:color w:val="auto"/>
              </w:rPr>
              <w:t>Twelve Months Ended</w:t>
            </w:r>
          </w:p>
        </w:tc>
        <w:tc>
          <w:tcPr>
            <w:tcW w:w="0" w:type="dxa"/>
            <w:vAlign w:val="bottom"/>
          </w:tcPr>
          <w:p>
            <w:pPr>
              <w:spacing w:after="0"/>
              <w:rPr>
                <w:sz w:val="1"/>
                <w:szCs w:val="1"/>
                <w:color w:val="auto"/>
              </w:rPr>
            </w:pPr>
          </w:p>
        </w:tc>
      </w:tr>
      <w:tr>
        <w:trPr>
          <w:trHeight w:val="173"/>
        </w:trPr>
        <w:tc>
          <w:tcPr>
            <w:tcW w:w="59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2520" w:type="dxa"/>
            <w:vAlign w:val="bottom"/>
            <w:gridSpan w:val="5"/>
          </w:tcPr>
          <w:p>
            <w:pPr>
              <w:jc w:val="right"/>
              <w:ind w:right="104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160" w:type="dxa"/>
            <w:vAlign w:val="bottom"/>
          </w:tcPr>
          <w:p>
            <w:pPr>
              <w:spacing w:after="0"/>
              <w:rPr>
                <w:sz w:val="15"/>
                <w:szCs w:val="15"/>
                <w:color w:val="auto"/>
              </w:rPr>
            </w:pPr>
          </w:p>
        </w:tc>
        <w:tc>
          <w:tcPr>
            <w:tcW w:w="1540" w:type="dxa"/>
            <w:vAlign w:val="bottom"/>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78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5940" w:type="dxa"/>
            <w:vAlign w:val="bottom"/>
          </w:tcPr>
          <w:p>
            <w:pPr>
              <w:spacing w:after="0"/>
              <w:rPr>
                <w:sz w:val="12"/>
                <w:szCs w:val="12"/>
                <w:color w:val="auto"/>
              </w:rPr>
            </w:pPr>
          </w:p>
        </w:tc>
        <w:tc>
          <w:tcPr>
            <w:tcW w:w="180" w:type="dxa"/>
            <w:vAlign w:val="bottom"/>
            <w:tcBorders>
              <w:top w:val="single" w:sz="8" w:color="auto"/>
              <w:bottom w:val="single" w:sz="8" w:color="auto"/>
            </w:tcBorders>
          </w:tcPr>
          <w:p>
            <w:pPr>
              <w:spacing w:after="0"/>
              <w:rPr>
                <w:sz w:val="12"/>
                <w:szCs w:val="12"/>
                <w:color w:val="auto"/>
              </w:rPr>
            </w:pPr>
          </w:p>
        </w:tc>
        <w:tc>
          <w:tcPr>
            <w:tcW w:w="940" w:type="dxa"/>
            <w:vAlign w:val="bottom"/>
            <w:tcBorders>
              <w:top w:val="single" w:sz="8" w:color="auto"/>
              <w:bottom w:val="single" w:sz="8" w:color="auto"/>
            </w:tcBorders>
          </w:tcPr>
          <w:p>
            <w:pPr>
              <w:jc w:val="right"/>
              <w:ind w:right="31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960" w:type="dxa"/>
            <w:vAlign w:val="bottom"/>
            <w:tcBorders>
              <w:top w:val="single" w:sz="8" w:color="auto"/>
              <w:bottom w:val="single" w:sz="8" w:color="auto"/>
            </w:tcBorders>
          </w:tcPr>
          <w:p>
            <w:pPr>
              <w:jc w:val="right"/>
              <w:ind w:right="33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880" w:type="dxa"/>
            <w:vAlign w:val="bottom"/>
            <w:tcBorders>
              <w:top w:val="single" w:sz="8" w:color="auto"/>
              <w:bottom w:val="single" w:sz="8" w:color="auto"/>
            </w:tcBorders>
          </w:tcPr>
          <w:p>
            <w:pPr>
              <w:jc w:val="right"/>
              <w:ind w:right="292"/>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300" w:type="dxa"/>
            <w:vAlign w:val="bottom"/>
            <w:tcBorders>
              <w:top w:val="single" w:sz="8" w:color="auto"/>
            </w:tcBorders>
          </w:tcPr>
          <w:p>
            <w:pPr>
              <w:spacing w:after="0"/>
              <w:rPr>
                <w:sz w:val="12"/>
                <w:szCs w:val="12"/>
                <w:color w:val="auto"/>
              </w:rPr>
            </w:pPr>
          </w:p>
        </w:tc>
        <w:tc>
          <w:tcPr>
            <w:tcW w:w="360" w:type="dxa"/>
            <w:vAlign w:val="bottom"/>
            <w:tcBorders>
              <w:top w:val="single" w:sz="8" w:color="auto"/>
              <w:bottom w:val="single" w:sz="8" w:color="auto"/>
            </w:tcBorders>
          </w:tcPr>
          <w:p>
            <w:pPr>
              <w:spacing w:after="0"/>
              <w:rPr>
                <w:sz w:val="12"/>
                <w:szCs w:val="12"/>
                <w:color w:val="auto"/>
              </w:rPr>
            </w:pPr>
          </w:p>
        </w:tc>
        <w:tc>
          <w:tcPr>
            <w:tcW w:w="780" w:type="dxa"/>
            <w:vAlign w:val="bottom"/>
            <w:tcBorders>
              <w:top w:val="single" w:sz="8" w:color="auto"/>
              <w:bottom w:val="single" w:sz="8" w:color="auto"/>
            </w:tcBorders>
          </w:tcPr>
          <w:p>
            <w:pPr>
              <w:jc w:val="right"/>
              <w:ind w:right="311"/>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2"/>
        </w:trPr>
        <w:tc>
          <w:tcPr>
            <w:tcW w:w="59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940" w:type="dxa"/>
            <w:vAlign w:val="bottom"/>
          </w:tcPr>
          <w:p>
            <w:pPr>
              <w:jc w:val="right"/>
              <w:ind w:right="132"/>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960" w:type="dxa"/>
            <w:vAlign w:val="bottom"/>
          </w:tcPr>
          <w:p>
            <w:pPr>
              <w:jc w:val="right"/>
              <w:ind w:right="151"/>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880" w:type="dxa"/>
            <w:vAlign w:val="bottom"/>
          </w:tcPr>
          <w:p>
            <w:pPr>
              <w:jc w:val="right"/>
              <w:ind w:right="92"/>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300" w:type="dxa"/>
            <w:vAlign w:val="bottom"/>
          </w:tcPr>
          <w:p>
            <w:pPr>
              <w:spacing w:after="0"/>
              <w:rPr>
                <w:sz w:val="12"/>
                <w:szCs w:val="12"/>
                <w:color w:val="auto"/>
              </w:rPr>
            </w:pPr>
          </w:p>
        </w:tc>
        <w:tc>
          <w:tcPr>
            <w:tcW w:w="36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8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15,256</w:t>
            </w:r>
          </w:p>
        </w:tc>
        <w:tc>
          <w:tcPr>
            <w:tcW w:w="24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18,372</w:t>
            </w:r>
          </w:p>
        </w:tc>
        <w:tc>
          <w:tcPr>
            <w:tcW w:w="22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48,567</w:t>
            </w:r>
          </w:p>
        </w:tc>
        <w:tc>
          <w:tcPr>
            <w:tcW w:w="300" w:type="dxa"/>
            <w:vAlign w:val="bottom"/>
          </w:tcPr>
          <w:p>
            <w:pPr>
              <w:spacing w:after="0"/>
              <w:rPr>
                <w:sz w:val="18"/>
                <w:szCs w:val="18"/>
                <w:color w:val="auto"/>
              </w:rPr>
            </w:pP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75,351</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180" w:type="dxa"/>
            <w:vAlign w:val="bottom"/>
            <w:tcBorders>
              <w:bottom w:val="single" w:sz="8" w:color="auto"/>
            </w:tcBorders>
            <w:shd w:val="clear" w:color="auto" w:fill="CFF0FC"/>
          </w:tcPr>
          <w:p>
            <w:pPr>
              <w:spacing w:after="0"/>
              <w:rPr>
                <w:sz w:val="18"/>
                <w:szCs w:val="18"/>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31,930</w:t>
            </w:r>
          </w:p>
        </w:tc>
        <w:tc>
          <w:tcPr>
            <w:tcW w:w="24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21,517</w:t>
            </w:r>
          </w:p>
        </w:tc>
        <w:tc>
          <w:tcPr>
            <w:tcW w:w="22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106,776</w:t>
            </w:r>
          </w:p>
        </w:tc>
        <w:tc>
          <w:tcPr>
            <w:tcW w:w="30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81,179</w:t>
            </w:r>
          </w:p>
        </w:tc>
        <w:tc>
          <w:tcPr>
            <w:tcW w:w="12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18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47,186</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39,889</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155,343</w:t>
            </w:r>
          </w:p>
        </w:tc>
        <w:tc>
          <w:tcPr>
            <w:tcW w:w="30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156,530</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58,365</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65,466</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243,805</w:t>
            </w:r>
          </w:p>
        </w:tc>
        <w:tc>
          <w:tcPr>
            <w:tcW w:w="30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263,888</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180" w:type="dxa"/>
            <w:vAlign w:val="bottom"/>
            <w:tcBorders>
              <w:bottom w:val="single" w:sz="8" w:color="auto"/>
            </w:tcBorders>
          </w:tcPr>
          <w:p>
            <w:pPr>
              <w:spacing w:after="0"/>
              <w:rPr>
                <w:sz w:val="18"/>
                <w:szCs w:val="18"/>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15,146</w:t>
            </w:r>
          </w:p>
        </w:tc>
        <w:tc>
          <w:tcPr>
            <w:tcW w:w="24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19,129</w:t>
            </w:r>
          </w:p>
        </w:tc>
        <w:tc>
          <w:tcPr>
            <w:tcW w:w="22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8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64,308</w:t>
            </w:r>
          </w:p>
        </w:tc>
        <w:tc>
          <w:tcPr>
            <w:tcW w:w="300" w:type="dxa"/>
            <w:vAlign w:val="bottom"/>
          </w:tcPr>
          <w:p>
            <w:pPr>
              <w:spacing w:after="0"/>
              <w:rPr>
                <w:sz w:val="18"/>
                <w:szCs w:val="18"/>
                <w:color w:val="auto"/>
              </w:rPr>
            </w:pPr>
          </w:p>
        </w:tc>
        <w:tc>
          <w:tcPr>
            <w:tcW w:w="360" w:type="dxa"/>
            <w:vAlign w:val="bottom"/>
            <w:tcBorders>
              <w:bottom w:val="single" w:sz="8" w:color="auto"/>
            </w:tcBorders>
          </w:tcPr>
          <w:p>
            <w:pPr>
              <w:spacing w:after="0"/>
              <w:rPr>
                <w:sz w:val="18"/>
                <w:szCs w:val="18"/>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75,843</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5940" w:type="dxa"/>
            <w:vAlign w:val="bottom"/>
            <w:tcBorders>
              <w:bottom w:val="single" w:sz="8" w:color="CFF0FC"/>
            </w:tcBorders>
            <w:shd w:val="clear" w:color="auto" w:fill="CFF0FC"/>
          </w:tcPr>
          <w:p>
            <w:pPr>
              <w:ind w:left="12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180" w:type="dxa"/>
            <w:vAlign w:val="bottom"/>
            <w:tcBorders>
              <w:bottom w:val="single" w:sz="8" w:color="auto"/>
            </w:tcBorders>
            <w:shd w:val="clear" w:color="auto" w:fill="CFF0FC"/>
          </w:tcPr>
          <w:p>
            <w:pPr>
              <w:spacing w:after="0"/>
              <w:rPr>
                <w:sz w:val="18"/>
                <w:szCs w:val="18"/>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120,697</w:t>
            </w:r>
          </w:p>
        </w:tc>
        <w:tc>
          <w:tcPr>
            <w:tcW w:w="24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124,484</w:t>
            </w:r>
          </w:p>
        </w:tc>
        <w:tc>
          <w:tcPr>
            <w:tcW w:w="22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463,456</w:t>
            </w:r>
          </w:p>
        </w:tc>
        <w:tc>
          <w:tcPr>
            <w:tcW w:w="30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496,261</w:t>
            </w:r>
          </w:p>
        </w:tc>
        <w:tc>
          <w:tcPr>
            <w:tcW w:w="12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Cost of revenues</w:t>
            </w:r>
          </w:p>
        </w:tc>
        <w:tc>
          <w:tcPr>
            <w:tcW w:w="180" w:type="dxa"/>
            <w:vAlign w:val="bottom"/>
          </w:tcPr>
          <w:p>
            <w:pPr>
              <w:spacing w:after="0"/>
              <w:rPr>
                <w:sz w:val="18"/>
                <w:szCs w:val="18"/>
                <w:color w:val="auto"/>
              </w:rPr>
            </w:pPr>
          </w:p>
        </w:tc>
        <w:tc>
          <w:tcPr>
            <w:tcW w:w="94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8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930</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609</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3,060</w:t>
            </w:r>
          </w:p>
        </w:tc>
        <w:tc>
          <w:tcPr>
            <w:tcW w:w="30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1,929</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180" w:type="dxa"/>
            <w:vAlign w:val="bottom"/>
            <w:tcBorders>
              <w:bottom w:val="single" w:sz="8" w:color="auto"/>
            </w:tcBorders>
          </w:tcPr>
          <w:p>
            <w:pPr>
              <w:spacing w:after="0"/>
              <w:rPr>
                <w:sz w:val="18"/>
                <w:szCs w:val="18"/>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12,822</w:t>
            </w:r>
          </w:p>
        </w:tc>
        <w:tc>
          <w:tcPr>
            <w:tcW w:w="24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8,676</w:t>
            </w:r>
          </w:p>
        </w:tc>
        <w:tc>
          <w:tcPr>
            <w:tcW w:w="22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8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42,440</w:t>
            </w:r>
          </w:p>
        </w:tc>
        <w:tc>
          <w:tcPr>
            <w:tcW w:w="300" w:type="dxa"/>
            <w:vAlign w:val="bottom"/>
          </w:tcPr>
          <w:p>
            <w:pPr>
              <w:spacing w:after="0"/>
              <w:rPr>
                <w:sz w:val="18"/>
                <w:szCs w:val="18"/>
                <w:color w:val="auto"/>
              </w:rPr>
            </w:pPr>
          </w:p>
        </w:tc>
        <w:tc>
          <w:tcPr>
            <w:tcW w:w="360" w:type="dxa"/>
            <w:vAlign w:val="bottom"/>
            <w:tcBorders>
              <w:bottom w:val="single" w:sz="8" w:color="auto"/>
            </w:tcBorders>
          </w:tcPr>
          <w:p>
            <w:pPr>
              <w:spacing w:after="0"/>
              <w:rPr>
                <w:sz w:val="18"/>
                <w:szCs w:val="18"/>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31,776</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13,752</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9,285</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45,500</w:t>
            </w:r>
          </w:p>
        </w:tc>
        <w:tc>
          <w:tcPr>
            <w:tcW w:w="30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33,705</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18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7,977</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5,319</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33,289</w:t>
            </w:r>
          </w:p>
        </w:tc>
        <w:tc>
          <w:tcPr>
            <w:tcW w:w="30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22,434</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180" w:type="dxa"/>
            <w:vAlign w:val="bottom"/>
            <w:tcBorders>
              <w:bottom w:val="single" w:sz="8" w:color="auto"/>
            </w:tcBorders>
            <w:shd w:val="clear" w:color="auto" w:fill="CFF0FC"/>
          </w:tcPr>
          <w:p>
            <w:pPr>
              <w:spacing w:after="0"/>
              <w:rPr>
                <w:sz w:val="18"/>
                <w:szCs w:val="18"/>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12,440</w:t>
            </w:r>
          </w:p>
        </w:tc>
        <w:tc>
          <w:tcPr>
            <w:tcW w:w="24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13,617</w:t>
            </w:r>
          </w:p>
        </w:tc>
        <w:tc>
          <w:tcPr>
            <w:tcW w:w="22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50,679</w:t>
            </w:r>
          </w:p>
        </w:tc>
        <w:tc>
          <w:tcPr>
            <w:tcW w:w="30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53,805</w:t>
            </w:r>
          </w:p>
        </w:tc>
        <w:tc>
          <w:tcPr>
            <w:tcW w:w="12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b w:val="1"/>
                <w:bCs w:val="1"/>
                <w:color w:val="auto"/>
              </w:rPr>
              <w:t>Total cost of revenues</w:t>
            </w:r>
          </w:p>
        </w:tc>
        <w:tc>
          <w:tcPr>
            <w:tcW w:w="180" w:type="dxa"/>
            <w:vAlign w:val="bottom"/>
            <w:tcBorders>
              <w:bottom w:val="single" w:sz="8" w:color="auto"/>
            </w:tcBorders>
          </w:tcPr>
          <w:p>
            <w:pPr>
              <w:spacing w:after="0"/>
              <w:rPr>
                <w:sz w:val="18"/>
                <w:szCs w:val="18"/>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34,169</w:t>
            </w:r>
          </w:p>
        </w:tc>
        <w:tc>
          <w:tcPr>
            <w:tcW w:w="24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28,221</w:t>
            </w:r>
          </w:p>
        </w:tc>
        <w:tc>
          <w:tcPr>
            <w:tcW w:w="22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8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129,468</w:t>
            </w:r>
          </w:p>
        </w:tc>
        <w:tc>
          <w:tcPr>
            <w:tcW w:w="300" w:type="dxa"/>
            <w:vAlign w:val="bottom"/>
          </w:tcPr>
          <w:p>
            <w:pPr>
              <w:spacing w:after="0"/>
              <w:rPr>
                <w:sz w:val="18"/>
                <w:szCs w:val="18"/>
                <w:color w:val="auto"/>
              </w:rPr>
            </w:pPr>
          </w:p>
        </w:tc>
        <w:tc>
          <w:tcPr>
            <w:tcW w:w="360" w:type="dxa"/>
            <w:vAlign w:val="bottom"/>
            <w:tcBorders>
              <w:bottom w:val="single" w:sz="8" w:color="auto"/>
            </w:tcBorders>
          </w:tcPr>
          <w:p>
            <w:pPr>
              <w:spacing w:after="0"/>
              <w:rPr>
                <w:sz w:val="18"/>
                <w:szCs w:val="18"/>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109,944</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59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Gross profit</w:t>
            </w:r>
          </w:p>
        </w:tc>
        <w:tc>
          <w:tcPr>
            <w:tcW w:w="180" w:type="dxa"/>
            <w:vAlign w:val="bottom"/>
            <w:tcBorders>
              <w:bottom w:val="single" w:sz="8" w:color="auto"/>
            </w:tcBorders>
            <w:shd w:val="clear" w:color="auto" w:fill="CFF0FC"/>
          </w:tcPr>
          <w:p>
            <w:pPr>
              <w:spacing w:after="0"/>
              <w:rPr>
                <w:sz w:val="18"/>
                <w:szCs w:val="18"/>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86,528</w:t>
            </w:r>
          </w:p>
        </w:tc>
        <w:tc>
          <w:tcPr>
            <w:tcW w:w="24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96,263</w:t>
            </w:r>
          </w:p>
        </w:tc>
        <w:tc>
          <w:tcPr>
            <w:tcW w:w="22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333,988</w:t>
            </w:r>
          </w:p>
        </w:tc>
        <w:tc>
          <w:tcPr>
            <w:tcW w:w="30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386,317</w:t>
            </w:r>
          </w:p>
        </w:tc>
        <w:tc>
          <w:tcPr>
            <w:tcW w:w="12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Operating expenses</w:t>
            </w:r>
          </w:p>
        </w:tc>
        <w:tc>
          <w:tcPr>
            <w:tcW w:w="180" w:type="dxa"/>
            <w:vAlign w:val="bottom"/>
          </w:tcPr>
          <w:p>
            <w:pPr>
              <w:spacing w:after="0"/>
              <w:rPr>
                <w:sz w:val="18"/>
                <w:szCs w:val="18"/>
                <w:color w:val="auto"/>
              </w:rPr>
            </w:pPr>
          </w:p>
        </w:tc>
        <w:tc>
          <w:tcPr>
            <w:tcW w:w="94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880" w:type="dxa"/>
            <w:vAlign w:val="bottom"/>
          </w:tcPr>
          <w:p>
            <w:pPr>
              <w:spacing w:after="0"/>
              <w:rPr>
                <w:sz w:val="18"/>
                <w:szCs w:val="18"/>
                <w:color w:val="auto"/>
              </w:rPr>
            </w:pPr>
          </w:p>
        </w:tc>
        <w:tc>
          <w:tcPr>
            <w:tcW w:w="30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8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Sales and marketing</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34,965</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40,299</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138,081</w:t>
            </w:r>
          </w:p>
        </w:tc>
        <w:tc>
          <w:tcPr>
            <w:tcW w:w="30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149,671</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w:t>
            </w:r>
          </w:p>
        </w:tc>
        <w:tc>
          <w:tcPr>
            <w:tcW w:w="18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25,691</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30,158</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118,486</w:t>
            </w:r>
          </w:p>
        </w:tc>
        <w:tc>
          <w:tcPr>
            <w:tcW w:w="30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120,530</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36,237</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29,353</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140,537</w:t>
            </w:r>
          </w:p>
        </w:tc>
        <w:tc>
          <w:tcPr>
            <w:tcW w:w="30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115,312</w:t>
            </w:r>
          </w:p>
        </w:tc>
        <w:tc>
          <w:tcPr>
            <w:tcW w:w="12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80" w:type="dxa"/>
            <w:vAlign w:val="bottom"/>
            <w:tcBorders>
              <w:bottom w:val="single" w:sz="8" w:color="auto"/>
            </w:tcBorders>
          </w:tcPr>
          <w:p>
            <w:pPr>
              <w:spacing w:after="0"/>
              <w:rPr>
                <w:sz w:val="18"/>
                <w:szCs w:val="18"/>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1,006,055</w:t>
            </w:r>
          </w:p>
        </w:tc>
        <w:tc>
          <w:tcPr>
            <w:tcW w:w="24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39,238</w:t>
            </w:r>
          </w:p>
        </w:tc>
        <w:tc>
          <w:tcPr>
            <w:tcW w:w="22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8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1,789,862</w:t>
            </w:r>
          </w:p>
        </w:tc>
        <w:tc>
          <w:tcPr>
            <w:tcW w:w="300" w:type="dxa"/>
            <w:vAlign w:val="bottom"/>
          </w:tcPr>
          <w:p>
            <w:pPr>
              <w:spacing w:after="0"/>
              <w:rPr>
                <w:sz w:val="18"/>
                <w:szCs w:val="18"/>
                <w:color w:val="auto"/>
              </w:rPr>
            </w:pPr>
          </w:p>
        </w:tc>
        <w:tc>
          <w:tcPr>
            <w:tcW w:w="360" w:type="dxa"/>
            <w:vAlign w:val="bottom"/>
            <w:tcBorders>
              <w:bottom w:val="single" w:sz="8" w:color="auto"/>
            </w:tcBorders>
          </w:tcPr>
          <w:p>
            <w:pPr>
              <w:spacing w:after="0"/>
              <w:rPr>
                <w:sz w:val="18"/>
                <w:szCs w:val="18"/>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115,851</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5940" w:type="dxa"/>
            <w:vAlign w:val="bottom"/>
            <w:tcBorders>
              <w:bottom w:val="single" w:sz="8" w:color="CFF0FC"/>
            </w:tcBorders>
            <w:shd w:val="clear" w:color="auto" w:fill="CFF0FC"/>
          </w:tcPr>
          <w:p>
            <w:pPr>
              <w:ind w:left="120"/>
              <w:spacing w:after="0"/>
              <w:rPr>
                <w:sz w:val="20"/>
                <w:szCs w:val="20"/>
                <w:color w:val="auto"/>
              </w:rPr>
            </w:pPr>
            <w:r>
              <w:rPr>
                <w:rFonts w:ascii="Times New Roman" w:cs="Times New Roman" w:eastAsia="Times New Roman" w:hAnsi="Times New Roman"/>
                <w:sz w:val="18"/>
                <w:szCs w:val="18"/>
                <w:b w:val="1"/>
                <w:bCs w:val="1"/>
                <w:color w:val="auto"/>
              </w:rPr>
              <w:t>Total operating expenses</w:t>
            </w:r>
          </w:p>
        </w:tc>
        <w:tc>
          <w:tcPr>
            <w:tcW w:w="180" w:type="dxa"/>
            <w:vAlign w:val="bottom"/>
            <w:tcBorders>
              <w:bottom w:val="single" w:sz="8" w:color="auto"/>
            </w:tcBorders>
            <w:shd w:val="clear" w:color="auto" w:fill="CFF0FC"/>
          </w:tcPr>
          <w:p>
            <w:pPr>
              <w:spacing w:after="0"/>
              <w:rPr>
                <w:sz w:val="18"/>
                <w:szCs w:val="18"/>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1,102,948</w:t>
            </w:r>
          </w:p>
        </w:tc>
        <w:tc>
          <w:tcPr>
            <w:tcW w:w="24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139,048</w:t>
            </w:r>
          </w:p>
        </w:tc>
        <w:tc>
          <w:tcPr>
            <w:tcW w:w="22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2,186,966</w:t>
            </w:r>
          </w:p>
        </w:tc>
        <w:tc>
          <w:tcPr>
            <w:tcW w:w="30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501,364</w:t>
            </w:r>
          </w:p>
        </w:tc>
        <w:tc>
          <w:tcPr>
            <w:tcW w:w="12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from operations</w:t>
            </w:r>
          </w:p>
        </w:tc>
        <w:tc>
          <w:tcPr>
            <w:tcW w:w="180" w:type="dxa"/>
            <w:vAlign w:val="bottom"/>
          </w:tcPr>
          <w:p>
            <w:pPr>
              <w:spacing w:after="0"/>
              <w:rPr>
                <w:sz w:val="18"/>
                <w:szCs w:val="18"/>
                <w:color w:val="auto"/>
              </w:rPr>
            </w:pPr>
          </w:p>
        </w:tc>
        <w:tc>
          <w:tcPr>
            <w:tcW w:w="11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b w:val="1"/>
                <w:bCs w:val="1"/>
                <w:color w:val="auto"/>
              </w:rPr>
              <w:t>(1,016,420 )</w:t>
            </w:r>
          </w:p>
        </w:tc>
        <w:tc>
          <w:tcPr>
            <w:tcW w:w="160" w:type="dxa"/>
            <w:vAlign w:val="bottom"/>
          </w:tcPr>
          <w:p>
            <w:pPr>
              <w:spacing w:after="0"/>
              <w:rPr>
                <w:sz w:val="18"/>
                <w:szCs w:val="18"/>
                <w:color w:val="auto"/>
              </w:rPr>
            </w:pPr>
          </w:p>
        </w:tc>
        <w:tc>
          <w:tcPr>
            <w:tcW w:w="11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(42,785 )</w:t>
            </w:r>
          </w:p>
        </w:tc>
        <w:tc>
          <w:tcPr>
            <w:tcW w:w="160" w:type="dxa"/>
            <w:vAlign w:val="bottom"/>
          </w:tcPr>
          <w:p>
            <w:pPr>
              <w:spacing w:after="0"/>
              <w:rPr>
                <w:sz w:val="18"/>
                <w:szCs w:val="18"/>
                <w:color w:val="auto"/>
              </w:rPr>
            </w:pP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b w:val="1"/>
                <w:bCs w:val="1"/>
                <w:color w:val="auto"/>
              </w:rPr>
              <w:t>(1,852,978 )</w:t>
            </w:r>
          </w:p>
        </w:tc>
        <w:tc>
          <w:tcPr>
            <w:tcW w:w="360" w:type="dxa"/>
            <w:vAlign w:val="bottom"/>
          </w:tcPr>
          <w:p>
            <w:pPr>
              <w:spacing w:after="0"/>
              <w:rPr>
                <w:sz w:val="18"/>
                <w:szCs w:val="18"/>
                <w:color w:val="auto"/>
              </w:rPr>
            </w:pPr>
          </w:p>
        </w:tc>
        <w:tc>
          <w:tcPr>
            <w:tcW w:w="9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b w:val="1"/>
                <w:bCs w:val="1"/>
                <w:color w:val="auto"/>
              </w:rPr>
              <w:t>(115,047 )</w:t>
            </w: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Interest expense, net</w:t>
            </w:r>
          </w:p>
        </w:tc>
        <w:tc>
          <w:tcPr>
            <w:tcW w:w="18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(16,465 )</w:t>
            </w:r>
          </w:p>
        </w:tc>
        <w:tc>
          <w:tcPr>
            <w:tcW w:w="16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(11,929 )</w:t>
            </w:r>
          </w:p>
        </w:tc>
        <w:tc>
          <w:tcPr>
            <w:tcW w:w="16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(61,941 )</w:t>
            </w:r>
          </w:p>
        </w:tc>
        <w:tc>
          <w:tcPr>
            <w:tcW w:w="360" w:type="dxa"/>
            <w:vAlign w:val="bottom"/>
            <w:shd w:val="clear" w:color="auto" w:fill="CFF0FC"/>
          </w:tcPr>
          <w:p>
            <w:pPr>
              <w:spacing w:after="0"/>
              <w:rPr>
                <w:sz w:val="18"/>
                <w:szCs w:val="18"/>
                <w:color w:val="auto"/>
              </w:rPr>
            </w:pPr>
          </w:p>
        </w:tc>
        <w:tc>
          <w:tcPr>
            <w:tcW w:w="9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(48,960 )</w:t>
            </w:r>
          </w:p>
        </w:tc>
        <w:tc>
          <w:tcPr>
            <w:tcW w:w="0" w:type="dxa"/>
            <w:vAlign w:val="bottom"/>
          </w:tcPr>
          <w:p>
            <w:pPr>
              <w:spacing w:after="0"/>
              <w:rPr>
                <w:sz w:val="1"/>
                <w:szCs w:val="1"/>
                <w:color w:val="auto"/>
              </w:rPr>
            </w:pPr>
          </w:p>
        </w:tc>
      </w:tr>
      <w:tr>
        <w:trPr>
          <w:trHeight w:val="216"/>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(Loss) gain on debt extinguishment</w:t>
            </w:r>
          </w:p>
        </w:tc>
        <w:tc>
          <w:tcPr>
            <w:tcW w:w="18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(22,933 )</w:t>
            </w:r>
          </w:p>
        </w:tc>
        <w:tc>
          <w:tcPr>
            <w:tcW w:w="360" w:type="dxa"/>
            <w:vAlign w:val="bottom"/>
          </w:tcPr>
          <w:p>
            <w:pPr>
              <w:spacing w:after="0"/>
              <w:rPr>
                <w:sz w:val="18"/>
                <w:szCs w:val="18"/>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Other income (expense), net</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6,150</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(5,930 )</w:t>
            </w: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3,506</w:t>
            </w:r>
          </w:p>
        </w:tc>
        <w:tc>
          <w:tcPr>
            <w:tcW w:w="300" w:type="dxa"/>
            <w:vAlign w:val="bottom"/>
            <w:shd w:val="clear" w:color="auto" w:fill="CFF0FC"/>
          </w:tcPr>
          <w:p>
            <w:pPr>
              <w:spacing w:after="0"/>
              <w:rPr>
                <w:sz w:val="18"/>
                <w:szCs w:val="18"/>
                <w:color w:val="auto"/>
              </w:rPr>
            </w:pPr>
          </w:p>
        </w:tc>
        <w:tc>
          <w:tcPr>
            <w:tcW w:w="360" w:type="dxa"/>
            <w:vAlign w:val="bottom"/>
            <w:shd w:val="clear" w:color="auto" w:fill="CFF0FC"/>
          </w:tcPr>
          <w:p>
            <w:pPr>
              <w:spacing w:after="0"/>
              <w:rPr>
                <w:sz w:val="18"/>
                <w:szCs w:val="18"/>
                <w:color w:val="auto"/>
              </w:rPr>
            </w:pPr>
          </w:p>
        </w:tc>
        <w:tc>
          <w:tcPr>
            <w:tcW w:w="9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(5,204 )</w:t>
            </w:r>
          </w:p>
        </w:tc>
        <w:tc>
          <w:tcPr>
            <w:tcW w:w="0" w:type="dxa"/>
            <w:vAlign w:val="bottom"/>
          </w:tcPr>
          <w:p>
            <w:pPr>
              <w:spacing w:after="0"/>
              <w:rPr>
                <w:sz w:val="1"/>
                <w:szCs w:val="1"/>
                <w:color w:val="auto"/>
              </w:rPr>
            </w:pPr>
          </w:p>
        </w:tc>
      </w:tr>
      <w:tr>
        <w:trPr>
          <w:trHeight w:val="20"/>
        </w:trPr>
        <w:tc>
          <w:tcPr>
            <w:tcW w:w="594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880" w:type="dxa"/>
            <w:vAlign w:val="bottom"/>
            <w:shd w:val="clear" w:color="auto" w:fill="000000"/>
          </w:tcPr>
          <w:p>
            <w:pPr>
              <w:spacing w:after="0" w:line="20" w:lineRule="exact"/>
              <w:rPr>
                <w:sz w:val="1"/>
                <w:szCs w:val="1"/>
                <w:color w:val="auto"/>
              </w:rPr>
            </w:pPr>
          </w:p>
        </w:tc>
        <w:tc>
          <w:tcPr>
            <w:tcW w:w="300" w:type="dxa"/>
            <w:vAlign w:val="bottom"/>
            <w:shd w:val="clear" w:color="auto" w:fill="CFF0FC"/>
          </w:tcPr>
          <w:p>
            <w:pPr>
              <w:spacing w:after="0" w:line="20" w:lineRule="exact"/>
              <w:rPr>
                <w:sz w:val="1"/>
                <w:szCs w:val="1"/>
                <w:color w:val="auto"/>
              </w:rPr>
            </w:pPr>
          </w:p>
        </w:tc>
        <w:tc>
          <w:tcPr>
            <w:tcW w:w="360" w:type="dxa"/>
            <w:vAlign w:val="bottom"/>
            <w:shd w:val="clear" w:color="auto" w:fill="000000"/>
          </w:tcPr>
          <w:p>
            <w:pPr>
              <w:spacing w:after="0" w:line="20" w:lineRule="exact"/>
              <w:rPr>
                <w:sz w:val="1"/>
                <w:szCs w:val="1"/>
                <w:color w:val="auto"/>
              </w:rPr>
            </w:pPr>
          </w:p>
        </w:tc>
        <w:tc>
          <w:tcPr>
            <w:tcW w:w="780" w:type="dxa"/>
            <w:vAlign w:val="bottom"/>
            <w:shd w:val="clear" w:color="auto" w:fill="000000"/>
          </w:tcPr>
          <w:p>
            <w:pPr>
              <w:spacing w:after="0" w:line="20" w:lineRule="exact"/>
              <w:rPr>
                <w:sz w:val="1"/>
                <w:szCs w:val="1"/>
                <w:color w:val="auto"/>
              </w:rPr>
            </w:pPr>
          </w:p>
        </w:tc>
        <w:tc>
          <w:tcPr>
            <w:tcW w:w="12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0"/>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before income taxes</w:t>
            </w:r>
          </w:p>
        </w:tc>
        <w:tc>
          <w:tcPr>
            <w:tcW w:w="180" w:type="dxa"/>
            <w:vAlign w:val="bottom"/>
          </w:tcPr>
          <w:p>
            <w:pPr>
              <w:spacing w:after="0"/>
              <w:rPr>
                <w:sz w:val="18"/>
                <w:szCs w:val="18"/>
                <w:color w:val="auto"/>
              </w:rPr>
            </w:pPr>
          </w:p>
        </w:tc>
        <w:tc>
          <w:tcPr>
            <w:tcW w:w="11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b w:val="1"/>
                <w:bCs w:val="1"/>
                <w:color w:val="auto"/>
              </w:rPr>
              <w:t>(1,026,735 )</w:t>
            </w:r>
          </w:p>
        </w:tc>
        <w:tc>
          <w:tcPr>
            <w:tcW w:w="160" w:type="dxa"/>
            <w:vAlign w:val="bottom"/>
          </w:tcPr>
          <w:p>
            <w:pPr>
              <w:spacing w:after="0"/>
              <w:rPr>
                <w:sz w:val="18"/>
                <w:szCs w:val="18"/>
                <w:color w:val="auto"/>
              </w:rPr>
            </w:pPr>
          </w:p>
        </w:tc>
        <w:tc>
          <w:tcPr>
            <w:tcW w:w="11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(60,644 )</w:t>
            </w:r>
          </w:p>
        </w:tc>
        <w:tc>
          <w:tcPr>
            <w:tcW w:w="160" w:type="dxa"/>
            <w:vAlign w:val="bottom"/>
          </w:tcPr>
          <w:p>
            <w:pPr>
              <w:spacing w:after="0"/>
              <w:rPr>
                <w:sz w:val="18"/>
                <w:szCs w:val="18"/>
                <w:color w:val="auto"/>
              </w:rPr>
            </w:pP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b w:val="1"/>
                <w:bCs w:val="1"/>
                <w:color w:val="auto"/>
              </w:rPr>
              <w:t>(1,934,346 )</w:t>
            </w:r>
          </w:p>
        </w:tc>
        <w:tc>
          <w:tcPr>
            <w:tcW w:w="360" w:type="dxa"/>
            <w:vAlign w:val="bottom"/>
          </w:tcPr>
          <w:p>
            <w:pPr>
              <w:spacing w:after="0"/>
              <w:rPr>
                <w:sz w:val="18"/>
                <w:szCs w:val="18"/>
                <w:color w:val="auto"/>
              </w:rPr>
            </w:pPr>
          </w:p>
        </w:tc>
        <w:tc>
          <w:tcPr>
            <w:tcW w:w="9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b w:val="1"/>
                <w:bCs w:val="1"/>
                <w:color w:val="auto"/>
              </w:rPr>
              <w:t>(124,525 )</w:t>
            </w:r>
          </w:p>
        </w:tc>
        <w:tc>
          <w:tcPr>
            <w:tcW w:w="0" w:type="dxa"/>
            <w:vAlign w:val="bottom"/>
          </w:tcPr>
          <w:p>
            <w:pPr>
              <w:spacing w:after="0"/>
              <w:rPr>
                <w:sz w:val="1"/>
                <w:szCs w:val="1"/>
                <w:color w:val="auto"/>
              </w:rPr>
            </w:pPr>
          </w:p>
        </w:tc>
      </w:tr>
      <w:tr>
        <w:trPr>
          <w:trHeight w:val="216"/>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Benefit from income taxes</w:t>
            </w:r>
          </w:p>
        </w:tc>
        <w:tc>
          <w:tcPr>
            <w:tcW w:w="18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(355,925 )</w:t>
            </w:r>
          </w:p>
        </w:tc>
        <w:tc>
          <w:tcPr>
            <w:tcW w:w="16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(149,770 )</w:t>
            </w:r>
          </w:p>
        </w:tc>
        <w:tc>
          <w:tcPr>
            <w:tcW w:w="160" w:type="dxa"/>
            <w:vAlign w:val="bottom"/>
            <w:shd w:val="clear" w:color="auto" w:fill="CFF0FC"/>
          </w:tcPr>
          <w:p>
            <w:pPr>
              <w:spacing w:after="0"/>
              <w:rPr>
                <w:sz w:val="18"/>
                <w:szCs w:val="18"/>
                <w:color w:val="auto"/>
              </w:rPr>
            </w:pPr>
          </w:p>
        </w:tc>
        <w:tc>
          <w:tcPr>
            <w:tcW w:w="118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(767,685 )</w:t>
            </w:r>
          </w:p>
        </w:tc>
        <w:tc>
          <w:tcPr>
            <w:tcW w:w="360" w:type="dxa"/>
            <w:vAlign w:val="bottom"/>
            <w:shd w:val="clear" w:color="auto" w:fill="CFF0FC"/>
          </w:tcPr>
          <w:p>
            <w:pPr>
              <w:spacing w:after="0"/>
              <w:rPr>
                <w:sz w:val="18"/>
                <w:szCs w:val="18"/>
                <w:color w:val="auto"/>
              </w:rPr>
            </w:pPr>
          </w:p>
        </w:tc>
        <w:tc>
          <w:tcPr>
            <w:tcW w:w="9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(553,646 )</w:t>
            </w:r>
          </w:p>
        </w:tc>
        <w:tc>
          <w:tcPr>
            <w:tcW w:w="0" w:type="dxa"/>
            <w:vAlign w:val="bottom"/>
          </w:tcPr>
          <w:p>
            <w:pPr>
              <w:spacing w:after="0"/>
              <w:rPr>
                <w:sz w:val="1"/>
                <w:szCs w:val="1"/>
                <w:color w:val="auto"/>
              </w:rPr>
            </w:pPr>
          </w:p>
        </w:tc>
      </w:tr>
      <w:tr>
        <w:trPr>
          <w:trHeight w:val="20"/>
        </w:trPr>
        <w:tc>
          <w:tcPr>
            <w:tcW w:w="594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880" w:type="dxa"/>
            <w:vAlign w:val="bottom"/>
            <w:shd w:val="clear" w:color="auto" w:fill="000000"/>
          </w:tcPr>
          <w:p>
            <w:pPr>
              <w:spacing w:after="0" w:line="20" w:lineRule="exact"/>
              <w:rPr>
                <w:sz w:val="1"/>
                <w:szCs w:val="1"/>
                <w:color w:val="auto"/>
              </w:rPr>
            </w:pPr>
          </w:p>
        </w:tc>
        <w:tc>
          <w:tcPr>
            <w:tcW w:w="300" w:type="dxa"/>
            <w:vAlign w:val="bottom"/>
            <w:shd w:val="clear" w:color="auto" w:fill="CFF0FC"/>
          </w:tcPr>
          <w:p>
            <w:pPr>
              <w:spacing w:after="0" w:line="20" w:lineRule="exact"/>
              <w:rPr>
                <w:sz w:val="1"/>
                <w:szCs w:val="1"/>
                <w:color w:val="auto"/>
              </w:rPr>
            </w:pPr>
          </w:p>
        </w:tc>
        <w:tc>
          <w:tcPr>
            <w:tcW w:w="360" w:type="dxa"/>
            <w:vAlign w:val="bottom"/>
            <w:shd w:val="clear" w:color="auto" w:fill="000000"/>
          </w:tcPr>
          <w:p>
            <w:pPr>
              <w:spacing w:after="0" w:line="20" w:lineRule="exact"/>
              <w:rPr>
                <w:sz w:val="1"/>
                <w:szCs w:val="1"/>
                <w:color w:val="auto"/>
              </w:rPr>
            </w:pPr>
          </w:p>
        </w:tc>
        <w:tc>
          <w:tcPr>
            <w:tcW w:w="780" w:type="dxa"/>
            <w:vAlign w:val="bottom"/>
            <w:shd w:val="clear" w:color="auto" w:fill="000000"/>
          </w:tcPr>
          <w:p>
            <w:pPr>
              <w:spacing w:after="0" w:line="20" w:lineRule="exact"/>
              <w:rPr>
                <w:sz w:val="1"/>
                <w:szCs w:val="1"/>
                <w:color w:val="auto"/>
              </w:rPr>
            </w:pPr>
          </w:p>
        </w:tc>
        <w:tc>
          <w:tcPr>
            <w:tcW w:w="12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0"/>
        </w:trPr>
        <w:tc>
          <w:tcPr>
            <w:tcW w:w="59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Net (loss) income</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1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b w:val="1"/>
                <w:bCs w:val="1"/>
                <w:color w:val="auto"/>
              </w:rPr>
              <w:t>(670,810 )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89,126</w:t>
            </w:r>
          </w:p>
        </w:tc>
        <w:tc>
          <w:tcPr>
            <w:tcW w:w="22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b w:val="1"/>
                <w:bCs w:val="1"/>
                <w:color w:val="auto"/>
              </w:rPr>
              <w:t>(1,166,661 )</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429,121</w:t>
            </w:r>
          </w:p>
        </w:tc>
        <w:tc>
          <w:tcPr>
            <w:tcW w:w="12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59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9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880" w:type="dxa"/>
            <w:vAlign w:val="bottom"/>
            <w:tcBorders>
              <w:top w:val="single" w:sz="8" w:color="auto"/>
              <w:bottom w:val="single" w:sz="8" w:color="auto"/>
            </w:tcBorders>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780" w:type="dxa"/>
            <w:vAlign w:val="bottom"/>
            <w:tcBorders>
              <w:top w:val="single" w:sz="8" w:color="auto"/>
              <w:bottom w:val="single" w:sz="8" w:color="auto"/>
            </w:tcBorders>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6"/>
        </w:trPr>
        <w:tc>
          <w:tcPr>
            <w:tcW w:w="594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b w:val="1"/>
                <w:bCs w:val="1"/>
                <w:color w:val="auto"/>
              </w:rPr>
              <w:t>Basic (loss) earnings per share (1):</w:t>
            </w:r>
          </w:p>
        </w:tc>
        <w:tc>
          <w:tcPr>
            <w:tcW w:w="1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w:t>
            </w:r>
          </w:p>
        </w:tc>
        <w:tc>
          <w:tcPr>
            <w:tcW w:w="1180" w:type="dxa"/>
            <w:vAlign w:val="bottom"/>
            <w:gridSpan w:val="2"/>
            <w:shd w:val="clear" w:color="auto" w:fill="CFF0FC"/>
          </w:tcPr>
          <w:p>
            <w:pPr>
              <w:jc w:val="right"/>
              <w:ind w:right="160"/>
              <w:spacing w:after="0" w:line="196" w:lineRule="exact"/>
              <w:rPr>
                <w:sz w:val="20"/>
                <w:szCs w:val="20"/>
                <w:color w:val="auto"/>
              </w:rPr>
            </w:pPr>
            <w:r>
              <w:rPr>
                <w:rFonts w:ascii="Times New Roman" w:cs="Times New Roman" w:eastAsia="Times New Roman" w:hAnsi="Times New Roman"/>
                <w:sz w:val="18"/>
                <w:szCs w:val="18"/>
                <w:b w:val="1"/>
                <w:bCs w:val="1"/>
                <w:color w:val="auto"/>
              </w:rPr>
              <w:t>(3.03 )</w:t>
            </w:r>
          </w:p>
        </w:tc>
        <w:tc>
          <w:tcPr>
            <w:tcW w:w="1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0.58</w:t>
            </w:r>
          </w:p>
        </w:tc>
        <w:tc>
          <w:tcPr>
            <w:tcW w:w="220" w:type="dxa"/>
            <w:vAlign w:val="bottom"/>
            <w:shd w:val="clear" w:color="auto" w:fill="CFF0FC"/>
          </w:tcPr>
          <w:p>
            <w:pPr>
              <w:spacing w:after="0"/>
              <w:rPr>
                <w:sz w:val="20"/>
                <w:szCs w:val="20"/>
                <w:color w:val="auto"/>
              </w:rPr>
            </w:pPr>
          </w:p>
        </w:tc>
        <w:tc>
          <w:tcPr>
            <w:tcW w:w="1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w:t>
            </w:r>
          </w:p>
        </w:tc>
        <w:tc>
          <w:tcPr>
            <w:tcW w:w="1180" w:type="dxa"/>
            <w:vAlign w:val="bottom"/>
            <w:gridSpan w:val="2"/>
            <w:shd w:val="clear" w:color="auto" w:fill="CFF0FC"/>
          </w:tcPr>
          <w:p>
            <w:pPr>
              <w:jc w:val="right"/>
              <w:ind w:right="240"/>
              <w:spacing w:after="0" w:line="196" w:lineRule="exact"/>
              <w:rPr>
                <w:sz w:val="20"/>
                <w:szCs w:val="20"/>
                <w:color w:val="auto"/>
              </w:rPr>
            </w:pPr>
            <w:r>
              <w:rPr>
                <w:rFonts w:ascii="Times New Roman" w:cs="Times New Roman" w:eastAsia="Times New Roman" w:hAnsi="Times New Roman"/>
                <w:sz w:val="18"/>
                <w:szCs w:val="18"/>
                <w:b w:val="1"/>
                <w:bCs w:val="1"/>
                <w:color w:val="auto"/>
              </w:rPr>
              <w:t>(6.06 )</w:t>
            </w:r>
          </w:p>
        </w:tc>
        <w:tc>
          <w:tcPr>
            <w:tcW w:w="360" w:type="dxa"/>
            <w:vAlign w:val="bottom"/>
            <w:shd w:val="clear" w:color="auto" w:fill="CFF0FC"/>
          </w:tcPr>
          <w:p>
            <w:pPr>
              <w:jc w:val="right"/>
              <w:ind w:right="170"/>
              <w:spacing w:after="0" w:line="196"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7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3.14</w:t>
            </w:r>
          </w:p>
        </w:tc>
        <w:tc>
          <w:tcPr>
            <w:tcW w:w="12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178"/>
        </w:trPr>
        <w:tc>
          <w:tcPr>
            <w:tcW w:w="5940" w:type="dxa"/>
            <w:vAlign w:val="bottom"/>
            <w:tcBorders>
              <w:top w:val="single" w:sz="8" w:color="CFF0FC"/>
            </w:tcBorders>
          </w:tcPr>
          <w:p>
            <w:pPr>
              <w:ind w:left="20"/>
              <w:spacing w:after="0" w:line="178" w:lineRule="exact"/>
              <w:rPr>
                <w:sz w:val="20"/>
                <w:szCs w:val="20"/>
                <w:color w:val="auto"/>
              </w:rPr>
            </w:pPr>
            <w:r>
              <w:rPr>
                <w:rFonts w:ascii="Times New Roman" w:cs="Times New Roman" w:eastAsia="Times New Roman" w:hAnsi="Times New Roman"/>
                <w:sz w:val="18"/>
                <w:szCs w:val="18"/>
                <w:color w:val="auto"/>
              </w:rPr>
              <w:t>Weighted average shares outstanding used in computing basic (loss) earnings</w:t>
            </w:r>
          </w:p>
        </w:tc>
        <w:tc>
          <w:tcPr>
            <w:tcW w:w="180" w:type="dxa"/>
            <w:vAlign w:val="bottom"/>
            <w:tcBorders>
              <w:top w:val="single" w:sz="8" w:color="auto"/>
            </w:tcBorders>
          </w:tcPr>
          <w:p>
            <w:pPr>
              <w:spacing w:after="0"/>
              <w:rPr>
                <w:sz w:val="15"/>
                <w:szCs w:val="15"/>
                <w:color w:val="auto"/>
              </w:rPr>
            </w:pPr>
          </w:p>
        </w:tc>
        <w:tc>
          <w:tcPr>
            <w:tcW w:w="94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221,608</w:t>
            </w:r>
          </w:p>
        </w:tc>
        <w:tc>
          <w:tcPr>
            <w:tcW w:w="240" w:type="dxa"/>
            <w:vAlign w:val="bottom"/>
            <w:tcBorders>
              <w:top w:val="single" w:sz="8" w:color="CFF0FC"/>
            </w:tcBorders>
          </w:tcPr>
          <w:p>
            <w:pPr>
              <w:spacing w:after="0"/>
              <w:rPr>
                <w:sz w:val="15"/>
                <w:szCs w:val="15"/>
                <w:color w:val="auto"/>
              </w:rPr>
            </w:pPr>
          </w:p>
        </w:tc>
        <w:tc>
          <w:tcPr>
            <w:tcW w:w="160" w:type="dxa"/>
            <w:vAlign w:val="bottom"/>
            <w:tcBorders>
              <w:top w:val="single" w:sz="8" w:color="auto"/>
            </w:tcBorders>
          </w:tcPr>
          <w:p>
            <w:pPr>
              <w:spacing w:after="0"/>
              <w:rPr>
                <w:sz w:val="15"/>
                <w:szCs w:val="15"/>
                <w:color w:val="auto"/>
              </w:rPr>
            </w:pPr>
          </w:p>
        </w:tc>
        <w:tc>
          <w:tcPr>
            <w:tcW w:w="96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153,361</w:t>
            </w:r>
          </w:p>
        </w:tc>
        <w:tc>
          <w:tcPr>
            <w:tcW w:w="220" w:type="dxa"/>
            <w:vAlign w:val="bottom"/>
            <w:tcBorders>
              <w:top w:val="single" w:sz="8" w:color="CFF0FC"/>
            </w:tcBorders>
          </w:tcPr>
          <w:p>
            <w:pPr>
              <w:spacing w:after="0"/>
              <w:rPr>
                <w:sz w:val="15"/>
                <w:szCs w:val="15"/>
                <w:color w:val="auto"/>
              </w:rPr>
            </w:pPr>
          </w:p>
        </w:tc>
        <w:tc>
          <w:tcPr>
            <w:tcW w:w="160" w:type="dxa"/>
            <w:vAlign w:val="bottom"/>
            <w:tcBorders>
              <w:top w:val="single" w:sz="8" w:color="auto"/>
            </w:tcBorders>
          </w:tcPr>
          <w:p>
            <w:pPr>
              <w:spacing w:after="0"/>
              <w:rPr>
                <w:sz w:val="15"/>
                <w:szCs w:val="15"/>
                <w:color w:val="auto"/>
              </w:rPr>
            </w:pPr>
          </w:p>
        </w:tc>
        <w:tc>
          <w:tcPr>
            <w:tcW w:w="88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192,549</w:t>
            </w:r>
          </w:p>
        </w:tc>
        <w:tc>
          <w:tcPr>
            <w:tcW w:w="300" w:type="dxa"/>
            <w:vAlign w:val="bottom"/>
            <w:tcBorders>
              <w:top w:val="single" w:sz="8" w:color="CFF0FC"/>
            </w:tcBorders>
          </w:tcPr>
          <w:p>
            <w:pPr>
              <w:spacing w:after="0"/>
              <w:rPr>
                <w:sz w:val="15"/>
                <w:szCs w:val="15"/>
                <w:color w:val="auto"/>
              </w:rPr>
            </w:pPr>
          </w:p>
        </w:tc>
        <w:tc>
          <w:tcPr>
            <w:tcW w:w="360" w:type="dxa"/>
            <w:vAlign w:val="bottom"/>
            <w:tcBorders>
              <w:top w:val="single" w:sz="8" w:color="auto"/>
            </w:tcBorders>
          </w:tcPr>
          <w:p>
            <w:pPr>
              <w:spacing w:after="0"/>
              <w:rPr>
                <w:sz w:val="15"/>
                <w:szCs w:val="15"/>
                <w:color w:val="auto"/>
              </w:rPr>
            </w:pPr>
          </w:p>
        </w:tc>
        <w:tc>
          <w:tcPr>
            <w:tcW w:w="78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136,706</w:t>
            </w:r>
          </w:p>
        </w:tc>
        <w:tc>
          <w:tcPr>
            <w:tcW w:w="120" w:type="dxa"/>
            <w:vAlign w:val="bottom"/>
            <w:tcBorders>
              <w:top w:val="single" w:sz="8" w:color="CFF0FC"/>
            </w:tcBorders>
          </w:tcPr>
          <w:p>
            <w:pPr>
              <w:spacing w:after="0"/>
              <w:rPr>
                <w:sz w:val="15"/>
                <w:szCs w:val="15"/>
                <w:color w:val="auto"/>
              </w:rPr>
            </w:pPr>
          </w:p>
        </w:tc>
        <w:tc>
          <w:tcPr>
            <w:tcW w:w="0" w:type="dxa"/>
            <w:vAlign w:val="bottom"/>
          </w:tcPr>
          <w:p>
            <w:pPr>
              <w:spacing w:after="0"/>
              <w:rPr>
                <w:sz w:val="1"/>
                <w:szCs w:val="1"/>
                <w:color w:val="auto"/>
              </w:rPr>
            </w:pPr>
          </w:p>
        </w:tc>
      </w:tr>
      <w:tr>
        <w:trPr>
          <w:trHeight w:val="194"/>
        </w:trPr>
        <w:tc>
          <w:tcPr>
            <w:tcW w:w="5940" w:type="dxa"/>
            <w:vAlign w:val="bottom"/>
          </w:tcPr>
          <w:p>
            <w:pPr>
              <w:ind w:left="20"/>
              <w:spacing w:after="0" w:line="194" w:lineRule="exact"/>
              <w:rPr>
                <w:sz w:val="20"/>
                <w:szCs w:val="20"/>
                <w:color w:val="auto"/>
              </w:rPr>
            </w:pPr>
            <w:r>
              <w:rPr>
                <w:rFonts w:ascii="Times New Roman" w:cs="Times New Roman" w:eastAsia="Times New Roman" w:hAnsi="Times New Roman"/>
                <w:sz w:val="18"/>
                <w:szCs w:val="18"/>
                <w:color w:val="auto"/>
              </w:rPr>
              <w:t>per share</w:t>
            </w:r>
          </w:p>
        </w:tc>
        <w:tc>
          <w:tcPr>
            <w:tcW w:w="18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vMerge w:val="continue"/>
          </w:tcPr>
          <w:p>
            <w:pPr>
              <w:spacing w:after="0"/>
              <w:rPr>
                <w:sz w:val="16"/>
                <w:szCs w:val="16"/>
                <w:color w:val="auto"/>
              </w:rPr>
            </w:pPr>
          </w:p>
        </w:tc>
        <w:tc>
          <w:tcPr>
            <w:tcW w:w="2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60" w:type="dxa"/>
            <w:vAlign w:val="bottom"/>
            <w:tcBorders>
              <w:bottom w:val="single" w:sz="8" w:color="auto"/>
            </w:tcBorders>
            <w:vMerge w:val="continue"/>
          </w:tcPr>
          <w:p>
            <w:pPr>
              <w:spacing w:after="0"/>
              <w:rPr>
                <w:sz w:val="16"/>
                <w:szCs w:val="16"/>
                <w:color w:val="auto"/>
              </w:rPr>
            </w:pPr>
          </w:p>
        </w:tc>
        <w:tc>
          <w:tcPr>
            <w:tcW w:w="22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880" w:type="dxa"/>
            <w:vAlign w:val="bottom"/>
            <w:tcBorders>
              <w:bottom w:val="single" w:sz="8" w:color="auto"/>
            </w:tcBorders>
            <w:vMerge w:val="continue"/>
          </w:tcPr>
          <w:p>
            <w:pPr>
              <w:spacing w:after="0"/>
              <w:rPr>
                <w:sz w:val="16"/>
                <w:szCs w:val="16"/>
                <w:color w:val="auto"/>
              </w:rPr>
            </w:pPr>
          </w:p>
        </w:tc>
        <w:tc>
          <w:tcPr>
            <w:tcW w:w="30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780" w:type="dxa"/>
            <w:vAlign w:val="bottom"/>
            <w:tcBorders>
              <w:bottom w:val="single" w:sz="8" w:color="auto"/>
            </w:tcBorders>
            <w:vMerge w:val="continue"/>
          </w:tcPr>
          <w:p>
            <w:pPr>
              <w:spacing w:after="0"/>
              <w:rPr>
                <w:sz w:val="16"/>
                <w:szCs w:val="16"/>
                <w:color w:val="auto"/>
              </w:rPr>
            </w:pPr>
          </w:p>
        </w:tc>
        <w:tc>
          <w:tcPr>
            <w:tcW w:w="1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5940" w:type="dxa"/>
            <w:vAlign w:val="bottom"/>
          </w:tcPr>
          <w:p>
            <w:pPr>
              <w:spacing w:after="0" w:line="20" w:lineRule="exact"/>
              <w:rPr>
                <w:sz w:val="1"/>
                <w:szCs w:val="1"/>
                <w:color w:val="auto"/>
              </w:rPr>
            </w:pPr>
          </w:p>
        </w:tc>
        <w:tc>
          <w:tcPr>
            <w:tcW w:w="180" w:type="dxa"/>
            <w:vAlign w:val="bottom"/>
            <w:tcBorders>
              <w:bottom w:val="single" w:sz="8" w:color="auto"/>
            </w:tcBorders>
          </w:tcPr>
          <w:p>
            <w:pPr>
              <w:spacing w:after="0" w:line="20" w:lineRule="exact"/>
              <w:rPr>
                <w:sz w:val="1"/>
                <w:szCs w:val="1"/>
                <w:color w:val="auto"/>
              </w:rPr>
            </w:pPr>
          </w:p>
        </w:tc>
        <w:tc>
          <w:tcPr>
            <w:tcW w:w="94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960" w:type="dxa"/>
            <w:vAlign w:val="bottom"/>
            <w:tcBorders>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880" w:type="dxa"/>
            <w:vAlign w:val="bottom"/>
            <w:tcBorders>
              <w:bottom w:val="single" w:sz="8" w:color="auto"/>
            </w:tcBorders>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360" w:type="dxa"/>
            <w:vAlign w:val="bottom"/>
            <w:tcBorders>
              <w:bottom w:val="single" w:sz="8" w:color="auto"/>
            </w:tcBorders>
          </w:tcPr>
          <w:p>
            <w:pPr>
              <w:spacing w:after="0" w:line="20" w:lineRule="exact"/>
              <w:rPr>
                <w:sz w:val="1"/>
                <w:szCs w:val="1"/>
                <w:color w:val="auto"/>
              </w:rPr>
            </w:pPr>
          </w:p>
        </w:tc>
        <w:tc>
          <w:tcPr>
            <w:tcW w:w="780" w:type="dxa"/>
            <w:vAlign w:val="bottom"/>
            <w:tcBorders>
              <w:bottom w:val="single" w:sz="8" w:color="auto"/>
            </w:tcBorders>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7"/>
        </w:trPr>
        <w:tc>
          <w:tcPr>
            <w:tcW w:w="594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b w:val="1"/>
                <w:bCs w:val="1"/>
                <w:color w:val="auto"/>
              </w:rPr>
              <w:t>Diluted (loss) earnings per share (1):</w:t>
            </w:r>
          </w:p>
        </w:tc>
        <w:tc>
          <w:tcPr>
            <w:tcW w:w="1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w:t>
            </w:r>
          </w:p>
        </w:tc>
        <w:tc>
          <w:tcPr>
            <w:tcW w:w="1180" w:type="dxa"/>
            <w:vAlign w:val="bottom"/>
            <w:gridSpan w:val="2"/>
            <w:shd w:val="clear" w:color="auto" w:fill="CFF0FC"/>
          </w:tcPr>
          <w:p>
            <w:pPr>
              <w:jc w:val="right"/>
              <w:ind w:right="160"/>
              <w:spacing w:after="0" w:line="196" w:lineRule="exact"/>
              <w:rPr>
                <w:sz w:val="20"/>
                <w:szCs w:val="20"/>
                <w:color w:val="auto"/>
              </w:rPr>
            </w:pPr>
            <w:r>
              <w:rPr>
                <w:rFonts w:ascii="Times New Roman" w:cs="Times New Roman" w:eastAsia="Times New Roman" w:hAnsi="Times New Roman"/>
                <w:sz w:val="18"/>
                <w:szCs w:val="18"/>
                <w:b w:val="1"/>
                <w:bCs w:val="1"/>
                <w:color w:val="auto"/>
              </w:rPr>
              <w:t>(3.03 )</w:t>
            </w:r>
          </w:p>
        </w:tc>
        <w:tc>
          <w:tcPr>
            <w:tcW w:w="1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0.50</w:t>
            </w:r>
          </w:p>
        </w:tc>
        <w:tc>
          <w:tcPr>
            <w:tcW w:w="220" w:type="dxa"/>
            <w:vAlign w:val="bottom"/>
            <w:shd w:val="clear" w:color="auto" w:fill="CFF0FC"/>
          </w:tcPr>
          <w:p>
            <w:pPr>
              <w:spacing w:after="0"/>
              <w:rPr>
                <w:sz w:val="20"/>
                <w:szCs w:val="20"/>
                <w:color w:val="auto"/>
              </w:rPr>
            </w:pPr>
          </w:p>
        </w:tc>
        <w:tc>
          <w:tcPr>
            <w:tcW w:w="1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w:t>
            </w:r>
          </w:p>
        </w:tc>
        <w:tc>
          <w:tcPr>
            <w:tcW w:w="1180" w:type="dxa"/>
            <w:vAlign w:val="bottom"/>
            <w:gridSpan w:val="2"/>
            <w:shd w:val="clear" w:color="auto" w:fill="CFF0FC"/>
          </w:tcPr>
          <w:p>
            <w:pPr>
              <w:jc w:val="right"/>
              <w:ind w:right="240"/>
              <w:spacing w:after="0" w:line="196" w:lineRule="exact"/>
              <w:rPr>
                <w:sz w:val="20"/>
                <w:szCs w:val="20"/>
                <w:color w:val="auto"/>
              </w:rPr>
            </w:pPr>
            <w:r>
              <w:rPr>
                <w:rFonts w:ascii="Times New Roman" w:cs="Times New Roman" w:eastAsia="Times New Roman" w:hAnsi="Times New Roman"/>
                <w:sz w:val="18"/>
                <w:szCs w:val="18"/>
                <w:b w:val="1"/>
                <w:bCs w:val="1"/>
                <w:color w:val="auto"/>
              </w:rPr>
              <w:t>(6.06 )</w:t>
            </w:r>
          </w:p>
        </w:tc>
        <w:tc>
          <w:tcPr>
            <w:tcW w:w="360" w:type="dxa"/>
            <w:vAlign w:val="bottom"/>
            <w:shd w:val="clear" w:color="auto" w:fill="CFF0FC"/>
          </w:tcPr>
          <w:p>
            <w:pPr>
              <w:jc w:val="right"/>
              <w:ind w:right="170"/>
              <w:spacing w:after="0" w:line="196"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7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b w:val="1"/>
                <w:bCs w:val="1"/>
                <w:color w:val="auto"/>
              </w:rPr>
              <w:t>2.64</w:t>
            </w:r>
          </w:p>
        </w:tc>
        <w:tc>
          <w:tcPr>
            <w:tcW w:w="12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178"/>
        </w:trPr>
        <w:tc>
          <w:tcPr>
            <w:tcW w:w="5940" w:type="dxa"/>
            <w:vAlign w:val="bottom"/>
            <w:tcBorders>
              <w:top w:val="single" w:sz="8" w:color="CFF0FC"/>
            </w:tcBorders>
          </w:tcPr>
          <w:p>
            <w:pPr>
              <w:ind w:left="20"/>
              <w:spacing w:after="0" w:line="178" w:lineRule="exact"/>
              <w:rPr>
                <w:sz w:val="20"/>
                <w:szCs w:val="20"/>
                <w:color w:val="auto"/>
              </w:rPr>
            </w:pPr>
            <w:r>
              <w:rPr>
                <w:rFonts w:ascii="Times New Roman" w:cs="Times New Roman" w:eastAsia="Times New Roman" w:hAnsi="Times New Roman"/>
                <w:sz w:val="18"/>
                <w:szCs w:val="18"/>
                <w:color w:val="auto"/>
              </w:rPr>
              <w:t>Weighted average shares outstanding used in computing diluted (loss) earnings</w:t>
            </w:r>
          </w:p>
        </w:tc>
        <w:tc>
          <w:tcPr>
            <w:tcW w:w="180" w:type="dxa"/>
            <w:vAlign w:val="bottom"/>
            <w:tcBorders>
              <w:top w:val="single" w:sz="8" w:color="auto"/>
            </w:tcBorders>
          </w:tcPr>
          <w:p>
            <w:pPr>
              <w:spacing w:after="0"/>
              <w:rPr>
                <w:sz w:val="15"/>
                <w:szCs w:val="15"/>
                <w:color w:val="auto"/>
              </w:rPr>
            </w:pPr>
          </w:p>
        </w:tc>
        <w:tc>
          <w:tcPr>
            <w:tcW w:w="94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221,608</w:t>
            </w:r>
          </w:p>
        </w:tc>
        <w:tc>
          <w:tcPr>
            <w:tcW w:w="240" w:type="dxa"/>
            <w:vAlign w:val="bottom"/>
            <w:tcBorders>
              <w:top w:val="single" w:sz="8" w:color="CFF0FC"/>
            </w:tcBorders>
          </w:tcPr>
          <w:p>
            <w:pPr>
              <w:spacing w:after="0"/>
              <w:rPr>
                <w:sz w:val="15"/>
                <w:szCs w:val="15"/>
                <w:color w:val="auto"/>
              </w:rPr>
            </w:pPr>
          </w:p>
        </w:tc>
        <w:tc>
          <w:tcPr>
            <w:tcW w:w="160" w:type="dxa"/>
            <w:vAlign w:val="bottom"/>
            <w:tcBorders>
              <w:top w:val="single" w:sz="8" w:color="auto"/>
            </w:tcBorders>
          </w:tcPr>
          <w:p>
            <w:pPr>
              <w:spacing w:after="0"/>
              <w:rPr>
                <w:sz w:val="15"/>
                <w:szCs w:val="15"/>
                <w:color w:val="auto"/>
              </w:rPr>
            </w:pPr>
          </w:p>
        </w:tc>
        <w:tc>
          <w:tcPr>
            <w:tcW w:w="96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183,757</w:t>
            </w:r>
          </w:p>
        </w:tc>
        <w:tc>
          <w:tcPr>
            <w:tcW w:w="220" w:type="dxa"/>
            <w:vAlign w:val="bottom"/>
            <w:tcBorders>
              <w:top w:val="single" w:sz="8" w:color="CFF0FC"/>
            </w:tcBorders>
          </w:tcPr>
          <w:p>
            <w:pPr>
              <w:spacing w:after="0"/>
              <w:rPr>
                <w:sz w:val="15"/>
                <w:szCs w:val="15"/>
                <w:color w:val="auto"/>
              </w:rPr>
            </w:pPr>
          </w:p>
        </w:tc>
        <w:tc>
          <w:tcPr>
            <w:tcW w:w="160" w:type="dxa"/>
            <w:vAlign w:val="bottom"/>
            <w:tcBorders>
              <w:top w:val="single" w:sz="8" w:color="auto"/>
            </w:tcBorders>
          </w:tcPr>
          <w:p>
            <w:pPr>
              <w:spacing w:after="0"/>
              <w:rPr>
                <w:sz w:val="15"/>
                <w:szCs w:val="15"/>
                <w:color w:val="auto"/>
              </w:rPr>
            </w:pPr>
          </w:p>
        </w:tc>
        <w:tc>
          <w:tcPr>
            <w:tcW w:w="88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192,549</w:t>
            </w:r>
          </w:p>
        </w:tc>
        <w:tc>
          <w:tcPr>
            <w:tcW w:w="300" w:type="dxa"/>
            <w:vAlign w:val="bottom"/>
            <w:tcBorders>
              <w:top w:val="single" w:sz="8" w:color="CFF0FC"/>
            </w:tcBorders>
          </w:tcPr>
          <w:p>
            <w:pPr>
              <w:spacing w:after="0"/>
              <w:rPr>
                <w:sz w:val="15"/>
                <w:szCs w:val="15"/>
                <w:color w:val="auto"/>
              </w:rPr>
            </w:pPr>
          </w:p>
        </w:tc>
        <w:tc>
          <w:tcPr>
            <w:tcW w:w="360" w:type="dxa"/>
            <w:vAlign w:val="bottom"/>
            <w:tcBorders>
              <w:top w:val="single" w:sz="8" w:color="auto"/>
            </w:tcBorders>
          </w:tcPr>
          <w:p>
            <w:pPr>
              <w:spacing w:after="0"/>
              <w:rPr>
                <w:sz w:val="15"/>
                <w:szCs w:val="15"/>
                <w:color w:val="auto"/>
              </w:rPr>
            </w:pPr>
          </w:p>
        </w:tc>
        <w:tc>
          <w:tcPr>
            <w:tcW w:w="78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8"/>
                <w:szCs w:val="18"/>
                <w:b w:val="1"/>
                <w:bCs w:val="1"/>
                <w:color w:val="auto"/>
              </w:rPr>
              <w:t>165,662</w:t>
            </w:r>
          </w:p>
        </w:tc>
        <w:tc>
          <w:tcPr>
            <w:tcW w:w="120" w:type="dxa"/>
            <w:vAlign w:val="bottom"/>
            <w:tcBorders>
              <w:top w:val="single" w:sz="8" w:color="CFF0FC"/>
            </w:tcBorders>
          </w:tcPr>
          <w:p>
            <w:pPr>
              <w:spacing w:after="0"/>
              <w:rPr>
                <w:sz w:val="15"/>
                <w:szCs w:val="15"/>
                <w:color w:val="auto"/>
              </w:rPr>
            </w:pPr>
          </w:p>
        </w:tc>
        <w:tc>
          <w:tcPr>
            <w:tcW w:w="0" w:type="dxa"/>
            <w:vAlign w:val="bottom"/>
          </w:tcPr>
          <w:p>
            <w:pPr>
              <w:spacing w:after="0"/>
              <w:rPr>
                <w:sz w:val="1"/>
                <w:szCs w:val="1"/>
                <w:color w:val="auto"/>
              </w:rPr>
            </w:pPr>
          </w:p>
        </w:tc>
      </w:tr>
      <w:tr>
        <w:trPr>
          <w:trHeight w:val="194"/>
        </w:trPr>
        <w:tc>
          <w:tcPr>
            <w:tcW w:w="5940" w:type="dxa"/>
            <w:vAlign w:val="bottom"/>
          </w:tcPr>
          <w:p>
            <w:pPr>
              <w:ind w:left="20"/>
              <w:spacing w:after="0" w:line="194" w:lineRule="exact"/>
              <w:rPr>
                <w:sz w:val="20"/>
                <w:szCs w:val="20"/>
                <w:color w:val="auto"/>
              </w:rPr>
            </w:pPr>
            <w:r>
              <w:rPr>
                <w:rFonts w:ascii="Times New Roman" w:cs="Times New Roman" w:eastAsia="Times New Roman" w:hAnsi="Times New Roman"/>
                <w:sz w:val="18"/>
                <w:szCs w:val="18"/>
                <w:color w:val="auto"/>
              </w:rPr>
              <w:t>per share</w:t>
            </w:r>
          </w:p>
        </w:tc>
        <w:tc>
          <w:tcPr>
            <w:tcW w:w="18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vMerge w:val="continue"/>
          </w:tcPr>
          <w:p>
            <w:pPr>
              <w:spacing w:after="0"/>
              <w:rPr>
                <w:sz w:val="16"/>
                <w:szCs w:val="16"/>
                <w:color w:val="auto"/>
              </w:rPr>
            </w:pPr>
          </w:p>
        </w:tc>
        <w:tc>
          <w:tcPr>
            <w:tcW w:w="2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60" w:type="dxa"/>
            <w:vAlign w:val="bottom"/>
            <w:tcBorders>
              <w:bottom w:val="single" w:sz="8" w:color="auto"/>
            </w:tcBorders>
            <w:vMerge w:val="continue"/>
          </w:tcPr>
          <w:p>
            <w:pPr>
              <w:spacing w:after="0"/>
              <w:rPr>
                <w:sz w:val="16"/>
                <w:szCs w:val="16"/>
                <w:color w:val="auto"/>
              </w:rPr>
            </w:pPr>
          </w:p>
        </w:tc>
        <w:tc>
          <w:tcPr>
            <w:tcW w:w="22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880" w:type="dxa"/>
            <w:vAlign w:val="bottom"/>
            <w:tcBorders>
              <w:bottom w:val="single" w:sz="8" w:color="auto"/>
            </w:tcBorders>
            <w:vMerge w:val="continue"/>
          </w:tcPr>
          <w:p>
            <w:pPr>
              <w:spacing w:after="0"/>
              <w:rPr>
                <w:sz w:val="16"/>
                <w:szCs w:val="16"/>
                <w:color w:val="auto"/>
              </w:rPr>
            </w:pPr>
          </w:p>
        </w:tc>
        <w:tc>
          <w:tcPr>
            <w:tcW w:w="30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780" w:type="dxa"/>
            <w:vAlign w:val="bottom"/>
            <w:tcBorders>
              <w:bottom w:val="single" w:sz="8" w:color="auto"/>
            </w:tcBorders>
            <w:vMerge w:val="continue"/>
          </w:tcPr>
          <w:p>
            <w:pPr>
              <w:spacing w:after="0"/>
              <w:rPr>
                <w:sz w:val="16"/>
                <w:szCs w:val="16"/>
                <w:color w:val="auto"/>
              </w:rPr>
            </w:pPr>
          </w:p>
        </w:tc>
        <w:tc>
          <w:tcPr>
            <w:tcW w:w="1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5940" w:type="dxa"/>
            <w:vAlign w:val="bottom"/>
          </w:tcPr>
          <w:p>
            <w:pPr>
              <w:spacing w:after="0" w:line="20" w:lineRule="exact"/>
              <w:rPr>
                <w:sz w:val="1"/>
                <w:szCs w:val="1"/>
                <w:color w:val="auto"/>
              </w:rPr>
            </w:pPr>
          </w:p>
        </w:tc>
        <w:tc>
          <w:tcPr>
            <w:tcW w:w="180" w:type="dxa"/>
            <w:vAlign w:val="bottom"/>
            <w:tcBorders>
              <w:bottom w:val="single" w:sz="8" w:color="auto"/>
            </w:tcBorders>
          </w:tcPr>
          <w:p>
            <w:pPr>
              <w:spacing w:after="0" w:line="20" w:lineRule="exact"/>
              <w:rPr>
                <w:sz w:val="1"/>
                <w:szCs w:val="1"/>
                <w:color w:val="auto"/>
              </w:rPr>
            </w:pPr>
          </w:p>
        </w:tc>
        <w:tc>
          <w:tcPr>
            <w:tcW w:w="940" w:type="dxa"/>
            <w:vAlign w:val="bottom"/>
            <w:tcBorders>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960" w:type="dxa"/>
            <w:vAlign w:val="bottom"/>
            <w:tcBorders>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880" w:type="dxa"/>
            <w:vAlign w:val="bottom"/>
            <w:tcBorders>
              <w:bottom w:val="single" w:sz="8" w:color="auto"/>
            </w:tcBorders>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360" w:type="dxa"/>
            <w:vAlign w:val="bottom"/>
            <w:tcBorders>
              <w:bottom w:val="single" w:sz="8" w:color="auto"/>
            </w:tcBorders>
          </w:tcPr>
          <w:p>
            <w:pPr>
              <w:spacing w:after="0" w:line="20" w:lineRule="exact"/>
              <w:rPr>
                <w:sz w:val="1"/>
                <w:szCs w:val="1"/>
                <w:color w:val="auto"/>
              </w:rPr>
            </w:pPr>
          </w:p>
        </w:tc>
        <w:tc>
          <w:tcPr>
            <w:tcW w:w="780" w:type="dxa"/>
            <w:vAlign w:val="bottom"/>
            <w:tcBorders>
              <w:bottom w:val="single" w:sz="8" w:color="auto"/>
            </w:tcBorders>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4488180</wp:posOffset>
            </wp:positionH>
            <wp:positionV relativeFrom="paragraph">
              <wp:posOffset>-4422775</wp:posOffset>
            </wp:positionV>
            <wp:extent cx="68580" cy="825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-4422775</wp:posOffset>
            </wp:positionV>
            <wp:extent cx="68580" cy="825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-4422775</wp:posOffset>
            </wp:positionV>
            <wp:extent cx="68580" cy="825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-4422775</wp:posOffset>
            </wp:positionV>
            <wp:extent cx="77470" cy="825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-3856990</wp:posOffset>
            </wp:positionV>
            <wp:extent cx="68580" cy="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-3856990</wp:posOffset>
            </wp:positionV>
            <wp:extent cx="68580" cy="825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-3856990</wp:posOffset>
            </wp:positionV>
            <wp:extent cx="68580" cy="825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-3856990</wp:posOffset>
            </wp:positionV>
            <wp:extent cx="77470" cy="825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-3016885</wp:posOffset>
            </wp:positionV>
            <wp:extent cx="68580" cy="889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-3016885</wp:posOffset>
            </wp:positionV>
            <wp:extent cx="68580" cy="889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-3016885</wp:posOffset>
            </wp:positionV>
            <wp:extent cx="68580" cy="889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-3016885</wp:posOffset>
            </wp:positionV>
            <wp:extent cx="77470" cy="889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-2725420</wp:posOffset>
            </wp:positionV>
            <wp:extent cx="68580" cy="825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-2725420</wp:posOffset>
            </wp:positionV>
            <wp:extent cx="68580" cy="825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-2725420</wp:posOffset>
            </wp:positionV>
            <wp:extent cx="68580" cy="825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-2725420</wp:posOffset>
            </wp:positionV>
            <wp:extent cx="77470" cy="825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-1885315</wp:posOffset>
            </wp:positionV>
            <wp:extent cx="68580" cy="825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-1885315</wp:posOffset>
            </wp:positionV>
            <wp:extent cx="68580" cy="825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-1885315</wp:posOffset>
            </wp:positionV>
            <wp:extent cx="68580" cy="825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-1885315</wp:posOffset>
            </wp:positionV>
            <wp:extent cx="77470" cy="825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-1328420</wp:posOffset>
            </wp:positionV>
            <wp:extent cx="68580" cy="825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-1328420</wp:posOffset>
            </wp:positionV>
            <wp:extent cx="68580" cy="825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-1328420</wp:posOffset>
            </wp:positionV>
            <wp:extent cx="68580" cy="825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-1328420</wp:posOffset>
            </wp:positionV>
            <wp:extent cx="77470" cy="825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-1045210</wp:posOffset>
            </wp:positionV>
            <wp:extent cx="68580" cy="825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-1045210</wp:posOffset>
            </wp:positionV>
            <wp:extent cx="68580" cy="825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-1045210</wp:posOffset>
            </wp:positionV>
            <wp:extent cx="68580" cy="825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-1045210</wp:posOffset>
            </wp:positionV>
            <wp:extent cx="77470" cy="825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-736600</wp:posOffset>
            </wp:positionV>
            <wp:extent cx="68580" cy="889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-719455</wp:posOffset>
            </wp:positionV>
            <wp:extent cx="68580" cy="889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-736600</wp:posOffset>
            </wp:positionV>
            <wp:extent cx="68580" cy="889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-719455</wp:posOffset>
            </wp:positionV>
            <wp:extent cx="68580" cy="889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-736600</wp:posOffset>
            </wp:positionV>
            <wp:extent cx="68580" cy="889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-719455</wp:posOffset>
            </wp:positionV>
            <wp:extent cx="68580" cy="889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-736600</wp:posOffset>
            </wp:positionV>
            <wp:extent cx="77470" cy="889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-719455</wp:posOffset>
            </wp:positionV>
            <wp:extent cx="77470" cy="889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-299720</wp:posOffset>
            </wp:positionV>
            <wp:extent cx="68580" cy="825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-282575</wp:posOffset>
            </wp:positionV>
            <wp:extent cx="68580" cy="889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-299720</wp:posOffset>
            </wp:positionV>
            <wp:extent cx="68580" cy="825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-282575</wp:posOffset>
            </wp:positionV>
            <wp:extent cx="68580" cy="889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-299720</wp:posOffset>
            </wp:positionV>
            <wp:extent cx="68580" cy="825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-282575</wp:posOffset>
            </wp:positionV>
            <wp:extent cx="68580" cy="889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-299720</wp:posOffset>
            </wp:positionV>
            <wp:extent cx="77470" cy="825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-282575</wp:posOffset>
            </wp:positionV>
            <wp:extent cx="77470" cy="889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77470" cy="8890"/>
                    </a:xfrm>
                    <a:prstGeom prst="rect">
                      <a:avLst/>
                    </a:prstGeom>
                    <a:noFill/>
                  </pic:spPr>
                </pic:pic>
              </a:graphicData>
            </a:graphic>
          </wp:anchor>
        </w:drawing>
      </w:r>
    </w:p>
    <w:p>
      <w:pPr>
        <w:spacing w:after="0" w:line="178" w:lineRule="exact"/>
        <w:rPr>
          <w:sz w:val="20"/>
          <w:szCs w:val="20"/>
          <w:color w:val="auto"/>
        </w:rPr>
      </w:pPr>
    </w:p>
    <w:p>
      <w:pPr>
        <w:ind w:right="3660" w:firstLine="8"/>
        <w:spacing w:after="0" w:line="532" w:lineRule="auto"/>
        <w:tabs>
          <w:tab w:leader="none" w:pos="36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and fully diluted (loss) earnings per share for class A and class B common stock are the same. * Derived from audited financial statements.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462280</wp:posOffset>
            </wp:positionV>
            <wp:extent cx="7157720" cy="4254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0" w:name="page11"/>
    <w:bookmarkEnd w:id="10"/>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BALANCE SHEETS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18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120" w:type="dxa"/>
            <w:vAlign w:val="bottom"/>
          </w:tcPr>
          <w:p>
            <w:pPr>
              <w:spacing w:after="0"/>
              <w:rPr>
                <w:sz w:val="13"/>
                <w:szCs w:val="13"/>
                <w:color w:val="auto"/>
              </w:rPr>
            </w:pPr>
          </w:p>
        </w:tc>
        <w:tc>
          <w:tcPr>
            <w:tcW w:w="748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660" w:type="dxa"/>
            <w:vAlign w:val="bottom"/>
            <w:gridSpan w:val="2"/>
          </w:tcPr>
          <w:p>
            <w:pPr>
              <w:jc w:val="center"/>
              <w:ind w:right="50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40" w:type="dxa"/>
            <w:vAlign w:val="bottom"/>
          </w:tcPr>
          <w:p>
            <w:pPr>
              <w:spacing w:after="0"/>
              <w:rPr>
                <w:sz w:val="13"/>
                <w:szCs w:val="13"/>
                <w:color w:val="auto"/>
              </w:rPr>
            </w:pPr>
          </w:p>
        </w:tc>
        <w:tc>
          <w:tcPr>
            <w:tcW w:w="1500" w:type="dxa"/>
            <w:vAlign w:val="bottom"/>
            <w:gridSpan w:val="2"/>
          </w:tcPr>
          <w:p>
            <w:pPr>
              <w:jc w:val="right"/>
              <w:ind w:right="50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73"/>
        </w:trPr>
        <w:tc>
          <w:tcPr>
            <w:tcW w:w="120" w:type="dxa"/>
            <w:vAlign w:val="bottom"/>
          </w:tcPr>
          <w:p>
            <w:pPr>
              <w:spacing w:after="0"/>
              <w:rPr>
                <w:sz w:val="15"/>
                <w:szCs w:val="15"/>
                <w:color w:val="auto"/>
              </w:rPr>
            </w:pPr>
          </w:p>
        </w:tc>
        <w:tc>
          <w:tcPr>
            <w:tcW w:w="748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1380" w:type="dxa"/>
            <w:vAlign w:val="bottom"/>
            <w:tcBorders>
              <w:bottom w:val="single" w:sz="8" w:color="auto"/>
            </w:tcBorders>
          </w:tcPr>
          <w:p>
            <w:pPr>
              <w:jc w:val="center"/>
              <w:ind w:right="15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1400" w:type="dxa"/>
            <w:vAlign w:val="bottom"/>
            <w:tcBorders>
              <w:bottom w:val="single" w:sz="8" w:color="auto"/>
            </w:tcBorders>
          </w:tcPr>
          <w:p>
            <w:pPr>
              <w:jc w:val="right"/>
              <w:ind w:right="55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5"/>
                <w:szCs w:val="15"/>
                <w:color w:val="auto"/>
              </w:rPr>
            </w:pPr>
          </w:p>
        </w:tc>
      </w:tr>
      <w:tr>
        <w:trPr>
          <w:trHeight w:val="142"/>
        </w:trPr>
        <w:tc>
          <w:tcPr>
            <w:tcW w:w="120" w:type="dxa"/>
            <w:vAlign w:val="bottom"/>
          </w:tcPr>
          <w:p>
            <w:pPr>
              <w:spacing w:after="0"/>
              <w:rPr>
                <w:sz w:val="12"/>
                <w:szCs w:val="12"/>
                <w:color w:val="auto"/>
              </w:rPr>
            </w:pPr>
          </w:p>
        </w:tc>
        <w:tc>
          <w:tcPr>
            <w:tcW w:w="74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380" w:type="dxa"/>
            <w:vAlign w:val="bottom"/>
          </w:tcPr>
          <w:p>
            <w:pPr>
              <w:jc w:val="center"/>
              <w:ind w:right="152"/>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400" w:type="dxa"/>
            <w:vAlign w:val="bottom"/>
          </w:tcPr>
          <w:p>
            <w:pPr>
              <w:spacing w:after="0"/>
              <w:rPr>
                <w:sz w:val="12"/>
                <w:szCs w:val="12"/>
                <w:color w:val="auto"/>
              </w:rPr>
            </w:pPr>
          </w:p>
        </w:tc>
        <w:tc>
          <w:tcPr>
            <w:tcW w:w="100" w:type="dxa"/>
            <w:vAlign w:val="bottom"/>
          </w:tcPr>
          <w:p>
            <w:pPr>
              <w:spacing w:after="0"/>
              <w:rPr>
                <w:sz w:val="12"/>
                <w:szCs w:val="12"/>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Assets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Current assets:</w:t>
            </w: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Cash and cash equivalents</w:t>
            </w: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38,117</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46,817</w:t>
            </w:r>
          </w:p>
        </w:tc>
        <w:tc>
          <w:tcPr>
            <w:tcW w:w="100" w:type="dxa"/>
            <w:vAlign w:val="bottom"/>
            <w:shd w:val="clear" w:color="auto" w:fill="CFF0FC"/>
          </w:tcPr>
          <w:p>
            <w:pPr>
              <w:spacing w:after="0"/>
              <w:rPr>
                <w:sz w:val="18"/>
                <w:szCs w:val="18"/>
                <w:color w:val="auto"/>
              </w:rPr>
            </w:pPr>
          </w:p>
        </w:tc>
      </w:tr>
      <w:tr>
        <w:trPr>
          <w:trHeight w:val="216"/>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Restricted cash</w:t>
            </w:r>
          </w:p>
        </w:tc>
        <w:tc>
          <w:tcPr>
            <w:tcW w:w="240" w:type="dxa"/>
            <w:vAlign w:val="bottom"/>
          </w:tcPr>
          <w:p>
            <w:pPr>
              <w:spacing w:after="0"/>
              <w:rPr>
                <w:sz w:val="18"/>
                <w:szCs w:val="18"/>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1,780</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1,856</w:t>
            </w:r>
          </w:p>
        </w:tc>
        <w:tc>
          <w:tcPr>
            <w:tcW w:w="100" w:type="dxa"/>
            <w:vAlign w:val="bottom"/>
          </w:tcPr>
          <w:p>
            <w:pPr>
              <w:spacing w:after="0"/>
              <w:rPr>
                <w:sz w:val="18"/>
                <w:szCs w:val="18"/>
                <w:color w:val="auto"/>
              </w:rPr>
            </w:pPr>
          </w:p>
        </w:tc>
      </w:tr>
      <w:tr>
        <w:trPr>
          <w:trHeight w:val="216"/>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Accounts receivable, net</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181,203</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183,815</w:t>
            </w:r>
          </w:p>
        </w:tc>
        <w:tc>
          <w:tcPr>
            <w:tcW w:w="100" w:type="dxa"/>
            <w:vAlign w:val="bottom"/>
            <w:shd w:val="clear" w:color="auto" w:fill="CFF0FC"/>
          </w:tcPr>
          <w:p>
            <w:pPr>
              <w:spacing w:after="0"/>
              <w:rPr>
                <w:sz w:val="18"/>
                <w:szCs w:val="18"/>
                <w:color w:val="auto"/>
              </w:rPr>
            </w:pPr>
          </w:p>
        </w:tc>
      </w:tr>
      <w:tr>
        <w:trPr>
          <w:trHeight w:val="216"/>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Prepaid expenses and other current assets</w:t>
            </w:r>
          </w:p>
        </w:tc>
        <w:tc>
          <w:tcPr>
            <w:tcW w:w="240" w:type="dxa"/>
            <w:vAlign w:val="bottom"/>
            <w:tcBorders>
              <w:bottom w:val="single" w:sz="8" w:color="auto"/>
            </w:tcBorders>
          </w:tcPr>
          <w:p>
            <w:pPr>
              <w:spacing w:after="0"/>
              <w:rPr>
                <w:sz w:val="18"/>
                <w:szCs w:val="18"/>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31,224</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35,407</w:t>
            </w:r>
          </w:p>
        </w:tc>
        <w:tc>
          <w:tcPr>
            <w:tcW w:w="100" w:type="dxa"/>
            <w:vAlign w:val="bottom"/>
          </w:tcPr>
          <w:p>
            <w:pPr>
              <w:spacing w:after="0"/>
              <w:rPr>
                <w:sz w:val="18"/>
                <w:szCs w:val="18"/>
                <w:color w:val="auto"/>
              </w:rPr>
            </w:pPr>
          </w:p>
        </w:tc>
      </w:tr>
      <w:tr>
        <w:trPr>
          <w:trHeight w:val="209"/>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current assets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252,324</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267,895</w:t>
            </w: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spacing w:after="0"/>
              <w:rPr>
                <w:sz w:val="18"/>
                <w:szCs w:val="18"/>
                <w:color w:val="auto"/>
              </w:rPr>
            </w:pP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Digital assets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23,909,373</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3,626,476</w:t>
            </w: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Property and equipment, net</w:t>
            </w:r>
          </w:p>
        </w:tc>
        <w:tc>
          <w:tcPr>
            <w:tcW w:w="240" w:type="dxa"/>
            <w:vAlign w:val="bottom"/>
          </w:tcPr>
          <w:p>
            <w:pPr>
              <w:spacing w:after="0"/>
              <w:rPr>
                <w:sz w:val="18"/>
                <w:szCs w:val="18"/>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26,327</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28,941</w:t>
            </w:r>
          </w:p>
        </w:tc>
        <w:tc>
          <w:tcPr>
            <w:tcW w:w="100" w:type="dxa"/>
            <w:vAlign w:val="bottom"/>
          </w:tcPr>
          <w:p>
            <w:pPr>
              <w:spacing w:after="0"/>
              <w:rPr>
                <w:sz w:val="18"/>
                <w:szCs w:val="18"/>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Right-of-use assets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54,560</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57,343</w:t>
            </w: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Deposits and other assets</w:t>
            </w:r>
          </w:p>
        </w:tc>
        <w:tc>
          <w:tcPr>
            <w:tcW w:w="240" w:type="dxa"/>
            <w:vAlign w:val="bottom"/>
          </w:tcPr>
          <w:p>
            <w:pPr>
              <w:spacing w:after="0"/>
              <w:rPr>
                <w:sz w:val="18"/>
                <w:szCs w:val="18"/>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75,794</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24,300</w:t>
            </w:r>
          </w:p>
        </w:tc>
        <w:tc>
          <w:tcPr>
            <w:tcW w:w="100" w:type="dxa"/>
            <w:vAlign w:val="bottom"/>
          </w:tcPr>
          <w:p>
            <w:pPr>
              <w:spacing w:after="0"/>
              <w:rPr>
                <w:sz w:val="18"/>
                <w:szCs w:val="18"/>
                <w:color w:val="auto"/>
              </w:rPr>
            </w:pPr>
          </w:p>
        </w:tc>
      </w:tr>
      <w:tr>
        <w:trPr>
          <w:trHeight w:val="216"/>
        </w:trPr>
        <w:tc>
          <w:tcPr>
            <w:tcW w:w="760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tax assets, net</w:t>
            </w:r>
          </w:p>
        </w:tc>
        <w:tc>
          <w:tcPr>
            <w:tcW w:w="240" w:type="dxa"/>
            <w:vAlign w:val="bottom"/>
            <w:tcBorders>
              <w:bottom w:val="single" w:sz="8" w:color="auto"/>
            </w:tcBorders>
            <w:shd w:val="clear" w:color="auto" w:fill="CFF0FC"/>
          </w:tcPr>
          <w:p>
            <w:pPr>
              <w:spacing w:after="0"/>
              <w:rPr>
                <w:sz w:val="18"/>
                <w:szCs w:val="18"/>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1,525,307</w:t>
            </w:r>
          </w:p>
        </w:tc>
        <w:tc>
          <w:tcPr>
            <w:tcW w:w="280" w:type="dxa"/>
            <w:vAlign w:val="bottom"/>
            <w:tcBorders>
              <w:bottom w:val="single" w:sz="8" w:color="CFF0FC"/>
            </w:tcBorders>
            <w:shd w:val="clear" w:color="auto" w:fill="CFF0FC"/>
          </w:tcPr>
          <w:p>
            <w:pPr>
              <w:spacing w:after="0"/>
              <w:rPr>
                <w:sz w:val="18"/>
                <w:szCs w:val="18"/>
                <w:color w:val="auto"/>
              </w:rPr>
            </w:pPr>
          </w:p>
        </w:tc>
        <w:tc>
          <w:tcPr>
            <w:tcW w:w="240" w:type="dxa"/>
            <w:vAlign w:val="bottom"/>
            <w:tcBorders>
              <w:bottom w:val="single" w:sz="8" w:color="auto"/>
            </w:tcBorders>
            <w:shd w:val="clear" w:color="auto" w:fill="CFF0FC"/>
          </w:tcPr>
          <w:p>
            <w:pPr>
              <w:spacing w:after="0"/>
              <w:rPr>
                <w:sz w:val="18"/>
                <w:szCs w:val="18"/>
                <w:color w:val="auto"/>
              </w:rPr>
            </w:pPr>
          </w:p>
        </w:tc>
        <w:tc>
          <w:tcPr>
            <w:tcW w:w="1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757,573</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Total assets</w:t>
            </w:r>
          </w:p>
        </w:tc>
        <w:tc>
          <w:tcPr>
            <w:tcW w:w="240" w:type="dxa"/>
            <w:vAlign w:val="bottom"/>
            <w:tcBorders>
              <w:bottom w:val="single" w:sz="8" w:color="auto"/>
            </w:tcBorders>
          </w:tcPr>
          <w:p>
            <w:pPr>
              <w:jc w:val="right"/>
              <w:ind w:right="5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25,843,685</w:t>
            </w:r>
          </w:p>
        </w:tc>
        <w:tc>
          <w:tcPr>
            <w:tcW w:w="280" w:type="dxa"/>
            <w:vAlign w:val="bottom"/>
          </w:tcPr>
          <w:p>
            <w:pPr>
              <w:spacing w:after="0"/>
              <w:rPr>
                <w:sz w:val="18"/>
                <w:szCs w:val="18"/>
                <w:color w:val="auto"/>
              </w:rPr>
            </w:pPr>
          </w:p>
        </w:tc>
        <w:tc>
          <w:tcPr>
            <w:tcW w:w="240" w:type="dxa"/>
            <w:vAlign w:val="bottom"/>
            <w:tcBorders>
              <w:bottom w:val="single" w:sz="8" w:color="auto"/>
            </w:tcBorders>
          </w:tcPr>
          <w:p>
            <w:pPr>
              <w:jc w:val="right"/>
              <w:ind w:right="5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4,762,528</w:t>
            </w:r>
          </w:p>
        </w:tc>
        <w:tc>
          <w:tcPr>
            <w:tcW w:w="100" w:type="dxa"/>
            <w:vAlign w:val="bottom"/>
          </w:tcPr>
          <w:p>
            <w:pPr>
              <w:spacing w:after="0"/>
              <w:rPr>
                <w:sz w:val="18"/>
                <w:szCs w:val="18"/>
                <w:color w:val="auto"/>
              </w:rPr>
            </w:pPr>
          </w:p>
        </w:tc>
      </w:tr>
      <w:tr>
        <w:trPr>
          <w:trHeight w:val="20"/>
        </w:trPr>
        <w:tc>
          <w:tcPr>
            <w:tcW w:w="120" w:type="dxa"/>
            <w:vAlign w:val="bottom"/>
          </w:tcPr>
          <w:p>
            <w:pPr>
              <w:spacing w:after="0" w:line="20" w:lineRule="exact"/>
              <w:rPr>
                <w:sz w:val="1"/>
                <w:szCs w:val="1"/>
                <w:color w:val="auto"/>
              </w:rPr>
            </w:pPr>
          </w:p>
        </w:tc>
        <w:tc>
          <w:tcPr>
            <w:tcW w:w="7480" w:type="dxa"/>
            <w:vAlign w:val="bottom"/>
          </w:tcPr>
          <w:p>
            <w:pPr>
              <w:spacing w:after="0" w:line="20" w:lineRule="exact"/>
              <w:rPr>
                <w:sz w:val="1"/>
                <w:szCs w:val="1"/>
                <w:color w:val="auto"/>
              </w:rPr>
            </w:pPr>
          </w:p>
        </w:tc>
        <w:tc>
          <w:tcPr>
            <w:tcW w:w="240" w:type="dxa"/>
            <w:vAlign w:val="bottom"/>
            <w:tcBorders>
              <w:bottom w:val="single" w:sz="8" w:color="auto"/>
            </w:tcBorders>
          </w:tcPr>
          <w:p>
            <w:pPr>
              <w:spacing w:after="0" w:line="20" w:lineRule="exact"/>
              <w:rPr>
                <w:sz w:val="1"/>
                <w:szCs w:val="1"/>
                <w:color w:val="auto"/>
              </w:rPr>
            </w:pPr>
          </w:p>
        </w:tc>
        <w:tc>
          <w:tcPr>
            <w:tcW w:w="138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40" w:type="dxa"/>
            <w:vAlign w:val="bottom"/>
            <w:tcBorders>
              <w:bottom w:val="single" w:sz="8" w:color="auto"/>
            </w:tcBorders>
          </w:tcPr>
          <w:p>
            <w:pPr>
              <w:spacing w:after="0" w:line="20" w:lineRule="exact"/>
              <w:rPr>
                <w:sz w:val="1"/>
                <w:szCs w:val="1"/>
                <w:color w:val="auto"/>
              </w:rPr>
            </w:pPr>
          </w:p>
        </w:tc>
        <w:tc>
          <w:tcPr>
            <w:tcW w:w="140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197"/>
        </w:trPr>
        <w:tc>
          <w:tcPr>
            <w:tcW w:w="7600" w:type="dxa"/>
            <w:vAlign w:val="bottom"/>
            <w:gridSpan w:val="2"/>
            <w:shd w:val="clear" w:color="auto" w:fill="CFF0FC"/>
          </w:tcPr>
          <w:p>
            <w:pPr>
              <w:spacing w:after="0"/>
              <w:rPr>
                <w:sz w:val="17"/>
                <w:szCs w:val="17"/>
                <w:color w:val="auto"/>
              </w:rPr>
            </w:pPr>
          </w:p>
        </w:tc>
        <w:tc>
          <w:tcPr>
            <w:tcW w:w="240" w:type="dxa"/>
            <w:vAlign w:val="bottom"/>
            <w:shd w:val="clear" w:color="auto" w:fill="CFF0FC"/>
          </w:tcPr>
          <w:p>
            <w:pPr>
              <w:spacing w:after="0"/>
              <w:rPr>
                <w:sz w:val="17"/>
                <w:szCs w:val="17"/>
                <w:color w:val="auto"/>
              </w:rPr>
            </w:pPr>
          </w:p>
        </w:tc>
        <w:tc>
          <w:tcPr>
            <w:tcW w:w="13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240" w:type="dxa"/>
            <w:vAlign w:val="bottom"/>
            <w:shd w:val="clear" w:color="auto" w:fill="CFF0FC"/>
          </w:tcPr>
          <w:p>
            <w:pPr>
              <w:spacing w:after="0"/>
              <w:rPr>
                <w:sz w:val="17"/>
                <w:szCs w:val="17"/>
                <w:color w:val="auto"/>
              </w:rPr>
            </w:pPr>
          </w:p>
        </w:tc>
        <w:tc>
          <w:tcPr>
            <w:tcW w:w="14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Liabilities and Stockholders’ Equity</w:t>
            </w: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Current liabilities: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Accounts payable, accrued expenses, and operating lease liabilities</w:t>
            </w: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52,982</w:t>
            </w:r>
          </w:p>
        </w:tc>
        <w:tc>
          <w:tcPr>
            <w:tcW w:w="280" w:type="dxa"/>
            <w:vAlign w:val="bottom"/>
          </w:tcPr>
          <w:p>
            <w:pPr>
              <w:spacing w:after="0"/>
              <w:rPr>
                <w:sz w:val="18"/>
                <w:szCs w:val="18"/>
                <w:color w:val="auto"/>
              </w:rPr>
            </w:pP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43,090</w:t>
            </w:r>
          </w:p>
        </w:tc>
        <w:tc>
          <w:tcPr>
            <w:tcW w:w="100" w:type="dxa"/>
            <w:vAlign w:val="bottom"/>
          </w:tcPr>
          <w:p>
            <w:pPr>
              <w:spacing w:after="0"/>
              <w:rPr>
                <w:sz w:val="18"/>
                <w:szCs w:val="18"/>
                <w:color w:val="auto"/>
              </w:rPr>
            </w:pPr>
          </w:p>
        </w:tc>
      </w:tr>
      <w:tr>
        <w:trPr>
          <w:trHeight w:val="216"/>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Accrued compensation and employee benefits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58,362</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50,045</w:t>
            </w:r>
          </w:p>
        </w:tc>
        <w:tc>
          <w:tcPr>
            <w:tcW w:w="100" w:type="dxa"/>
            <w:vAlign w:val="bottom"/>
            <w:shd w:val="clear" w:color="auto" w:fill="CFF0FC"/>
          </w:tcPr>
          <w:p>
            <w:pPr>
              <w:spacing w:after="0"/>
              <w:rPr>
                <w:sz w:val="18"/>
                <w:szCs w:val="18"/>
                <w:color w:val="auto"/>
              </w:rPr>
            </w:pPr>
          </w:p>
        </w:tc>
      </w:tr>
      <w:tr>
        <w:trPr>
          <w:trHeight w:val="216"/>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Accrued interest</w:t>
            </w:r>
          </w:p>
        </w:tc>
        <w:tc>
          <w:tcPr>
            <w:tcW w:w="240" w:type="dxa"/>
            <w:vAlign w:val="bottom"/>
          </w:tcPr>
          <w:p>
            <w:pPr>
              <w:spacing w:after="0"/>
              <w:rPr>
                <w:sz w:val="18"/>
                <w:szCs w:val="18"/>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5,549</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1,493</w:t>
            </w:r>
          </w:p>
        </w:tc>
        <w:tc>
          <w:tcPr>
            <w:tcW w:w="100" w:type="dxa"/>
            <w:vAlign w:val="bottom"/>
          </w:tcPr>
          <w:p>
            <w:pPr>
              <w:spacing w:after="0"/>
              <w:rPr>
                <w:sz w:val="18"/>
                <w:szCs w:val="18"/>
                <w:color w:val="auto"/>
              </w:rPr>
            </w:pPr>
          </w:p>
        </w:tc>
      </w:tr>
      <w:tr>
        <w:trPr>
          <w:trHeight w:val="216"/>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Current portion of long-term debt, net</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517</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483</w:t>
            </w:r>
          </w:p>
        </w:tc>
        <w:tc>
          <w:tcPr>
            <w:tcW w:w="100" w:type="dxa"/>
            <w:vAlign w:val="bottom"/>
            <w:shd w:val="clear" w:color="auto" w:fill="CFF0FC"/>
          </w:tcPr>
          <w:p>
            <w:pPr>
              <w:spacing w:after="0"/>
              <w:rPr>
                <w:sz w:val="18"/>
                <w:szCs w:val="18"/>
                <w:color w:val="auto"/>
              </w:rPr>
            </w:pPr>
          </w:p>
        </w:tc>
      </w:tr>
      <w:tr>
        <w:trPr>
          <w:trHeight w:val="216"/>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240" w:type="dxa"/>
            <w:vAlign w:val="bottom"/>
            <w:tcBorders>
              <w:bottom w:val="single" w:sz="8" w:color="auto"/>
            </w:tcBorders>
          </w:tcPr>
          <w:p>
            <w:pPr>
              <w:spacing w:after="0"/>
              <w:rPr>
                <w:sz w:val="18"/>
                <w:szCs w:val="18"/>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237,974</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100" w:type="dxa"/>
            <w:vAlign w:val="bottom"/>
          </w:tcPr>
          <w:p>
            <w:pPr>
              <w:spacing w:after="0"/>
              <w:rPr>
                <w:sz w:val="18"/>
                <w:szCs w:val="18"/>
                <w:color w:val="auto"/>
              </w:rPr>
            </w:pPr>
          </w:p>
        </w:tc>
      </w:tr>
      <w:tr>
        <w:trPr>
          <w:trHeight w:val="210"/>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current liabilities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355,384</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323,273</w:t>
            </w: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spacing w:after="0"/>
              <w:rPr>
                <w:sz w:val="18"/>
                <w:szCs w:val="18"/>
                <w:color w:val="auto"/>
              </w:rPr>
            </w:pP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Long-term debt, net</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7,191,158</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2,182,108</w:t>
            </w: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240" w:type="dxa"/>
            <w:vAlign w:val="bottom"/>
          </w:tcPr>
          <w:p>
            <w:pPr>
              <w:spacing w:after="0"/>
              <w:rPr>
                <w:sz w:val="18"/>
                <w:szCs w:val="18"/>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4,970</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100" w:type="dxa"/>
            <w:vAlign w:val="bottom"/>
          </w:tcPr>
          <w:p>
            <w:pPr>
              <w:spacing w:after="0"/>
              <w:rPr>
                <w:sz w:val="18"/>
                <w:szCs w:val="18"/>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Operating lease liabilities</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56,403</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61,086</w:t>
            </w: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Other long-term liabilities</w:t>
            </w:r>
          </w:p>
        </w:tc>
        <w:tc>
          <w:tcPr>
            <w:tcW w:w="240" w:type="dxa"/>
            <w:vAlign w:val="bottom"/>
          </w:tcPr>
          <w:p>
            <w:pPr>
              <w:spacing w:after="0"/>
              <w:rPr>
                <w:sz w:val="18"/>
                <w:szCs w:val="18"/>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5,379</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22,208</w:t>
            </w:r>
          </w:p>
        </w:tc>
        <w:tc>
          <w:tcPr>
            <w:tcW w:w="100" w:type="dxa"/>
            <w:vAlign w:val="bottom"/>
          </w:tcPr>
          <w:p>
            <w:pPr>
              <w:spacing w:after="0"/>
              <w:rPr>
                <w:sz w:val="18"/>
                <w:szCs w:val="18"/>
                <w:color w:val="auto"/>
              </w:rPr>
            </w:pPr>
          </w:p>
        </w:tc>
      </w:tr>
      <w:tr>
        <w:trPr>
          <w:trHeight w:val="216"/>
        </w:trPr>
        <w:tc>
          <w:tcPr>
            <w:tcW w:w="760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tax liabilities</w:t>
            </w:r>
          </w:p>
        </w:tc>
        <w:tc>
          <w:tcPr>
            <w:tcW w:w="240" w:type="dxa"/>
            <w:vAlign w:val="bottom"/>
            <w:tcBorders>
              <w:bottom w:val="single" w:sz="8" w:color="auto"/>
            </w:tcBorders>
            <w:shd w:val="clear" w:color="auto" w:fill="CFF0FC"/>
          </w:tcPr>
          <w:p>
            <w:pPr>
              <w:spacing w:after="0"/>
              <w:rPr>
                <w:sz w:val="18"/>
                <w:szCs w:val="18"/>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407</w:t>
            </w:r>
          </w:p>
        </w:tc>
        <w:tc>
          <w:tcPr>
            <w:tcW w:w="280" w:type="dxa"/>
            <w:vAlign w:val="bottom"/>
            <w:tcBorders>
              <w:bottom w:val="single" w:sz="8" w:color="CFF0FC"/>
            </w:tcBorders>
            <w:shd w:val="clear" w:color="auto" w:fill="CFF0FC"/>
          </w:tcPr>
          <w:p>
            <w:pPr>
              <w:spacing w:after="0"/>
              <w:rPr>
                <w:sz w:val="18"/>
                <w:szCs w:val="18"/>
                <w:color w:val="auto"/>
              </w:rPr>
            </w:pPr>
          </w:p>
        </w:tc>
        <w:tc>
          <w:tcPr>
            <w:tcW w:w="240" w:type="dxa"/>
            <w:vAlign w:val="bottom"/>
            <w:tcBorders>
              <w:bottom w:val="single" w:sz="8" w:color="auto"/>
            </w:tcBorders>
            <w:shd w:val="clear" w:color="auto" w:fill="CFF0FC"/>
          </w:tcPr>
          <w:p>
            <w:pPr>
              <w:spacing w:after="0"/>
              <w:rPr>
                <w:sz w:val="18"/>
                <w:szCs w:val="18"/>
                <w:color w:val="auto"/>
              </w:rPr>
            </w:pPr>
          </w:p>
        </w:tc>
        <w:tc>
          <w:tcPr>
            <w:tcW w:w="1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357</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10"/>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Total liabilities</w:t>
            </w:r>
          </w:p>
        </w:tc>
        <w:tc>
          <w:tcPr>
            <w:tcW w:w="240" w:type="dxa"/>
            <w:vAlign w:val="bottom"/>
            <w:tcBorders>
              <w:bottom w:val="single" w:sz="8" w:color="auto"/>
            </w:tcBorders>
          </w:tcPr>
          <w:p>
            <w:pPr>
              <w:spacing w:after="0"/>
              <w:rPr>
                <w:sz w:val="18"/>
                <w:szCs w:val="18"/>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7,613,701</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2,597,556</w:t>
            </w:r>
          </w:p>
        </w:tc>
        <w:tc>
          <w:tcPr>
            <w:tcW w:w="100" w:type="dxa"/>
            <w:vAlign w:val="bottom"/>
          </w:tcPr>
          <w:p>
            <w:pPr>
              <w:spacing w:after="0"/>
              <w:rPr>
                <w:sz w:val="18"/>
                <w:szCs w:val="18"/>
                <w:color w:val="auto"/>
              </w:rPr>
            </w:pPr>
          </w:p>
        </w:tc>
      </w:tr>
      <w:tr>
        <w:trPr>
          <w:trHeight w:val="209"/>
        </w:trPr>
        <w:tc>
          <w:tcPr>
            <w:tcW w:w="7600" w:type="dxa"/>
            <w:vAlign w:val="bottom"/>
            <w:gridSpan w:val="2"/>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4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Stockholders’ Equity</w:t>
            </w: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198"/>
        </w:trPr>
        <w:tc>
          <w:tcPr>
            <w:tcW w:w="120" w:type="dxa"/>
            <w:vAlign w:val="bottom"/>
            <w:shd w:val="clear" w:color="auto" w:fill="CFF0FC"/>
          </w:tcPr>
          <w:p>
            <w:pPr>
              <w:spacing w:after="0"/>
              <w:rPr>
                <w:sz w:val="17"/>
                <w:szCs w:val="17"/>
                <w:color w:val="auto"/>
              </w:rPr>
            </w:pPr>
          </w:p>
        </w:tc>
        <w:tc>
          <w:tcPr>
            <w:tcW w:w="7480" w:type="dxa"/>
            <w:vAlign w:val="bottom"/>
            <w:shd w:val="clear" w:color="auto" w:fill="CFF0FC"/>
          </w:tcPr>
          <w:p>
            <w:pPr>
              <w:ind w:left="40"/>
              <w:spacing w:after="0" w:line="198" w:lineRule="exact"/>
              <w:rPr>
                <w:sz w:val="20"/>
                <w:szCs w:val="20"/>
                <w:color w:val="auto"/>
              </w:rPr>
            </w:pPr>
            <w:r>
              <w:rPr>
                <w:rFonts w:ascii="Times New Roman" w:cs="Times New Roman" w:eastAsia="Times New Roman" w:hAnsi="Times New Roman"/>
                <w:sz w:val="18"/>
                <w:szCs w:val="18"/>
                <w:color w:val="auto"/>
              </w:rPr>
              <w:t>Preferred stock undesignated, $0.001 par value; 5,000 shares authorized; no shares issued or</w:t>
            </w:r>
          </w:p>
        </w:tc>
        <w:tc>
          <w:tcPr>
            <w:tcW w:w="240" w:type="dxa"/>
            <w:vAlign w:val="bottom"/>
            <w:shd w:val="clear" w:color="auto" w:fill="CFF0FC"/>
          </w:tcPr>
          <w:p>
            <w:pPr>
              <w:spacing w:after="0"/>
              <w:rPr>
                <w:sz w:val="17"/>
                <w:szCs w:val="17"/>
                <w:color w:val="auto"/>
              </w:rPr>
            </w:pPr>
          </w:p>
        </w:tc>
        <w:tc>
          <w:tcPr>
            <w:tcW w:w="13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240" w:type="dxa"/>
            <w:vAlign w:val="bottom"/>
            <w:shd w:val="clear" w:color="auto" w:fill="CFF0FC"/>
          </w:tcPr>
          <w:p>
            <w:pPr>
              <w:spacing w:after="0"/>
              <w:rPr>
                <w:sz w:val="17"/>
                <w:szCs w:val="17"/>
                <w:color w:val="auto"/>
              </w:rPr>
            </w:pPr>
          </w:p>
        </w:tc>
        <w:tc>
          <w:tcPr>
            <w:tcW w:w="14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r>
      <w:tr>
        <w:trPr>
          <w:trHeight w:val="234"/>
        </w:trPr>
        <w:tc>
          <w:tcPr>
            <w:tcW w:w="120" w:type="dxa"/>
            <w:vAlign w:val="bottom"/>
            <w:shd w:val="clear" w:color="auto" w:fill="CFF0FC"/>
          </w:tcPr>
          <w:p>
            <w:pPr>
              <w:spacing w:after="0"/>
              <w:rPr>
                <w:sz w:val="20"/>
                <w:szCs w:val="20"/>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outstanding</w:t>
            </w:r>
          </w:p>
        </w:tc>
        <w:tc>
          <w:tcPr>
            <w:tcW w:w="240" w:type="dxa"/>
            <w:vAlign w:val="bottom"/>
            <w:shd w:val="clear" w:color="auto" w:fill="CFF0FC"/>
          </w:tcPr>
          <w:p>
            <w:pPr>
              <w:spacing w:after="0"/>
              <w:rPr>
                <w:sz w:val="20"/>
                <w:szCs w:val="20"/>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0"/>
                <w:szCs w:val="20"/>
                <w:color w:val="auto"/>
              </w:rPr>
            </w:pPr>
          </w:p>
        </w:tc>
      </w:tr>
      <w:tr>
        <w:trPr>
          <w:trHeight w:val="198"/>
        </w:trPr>
        <w:tc>
          <w:tcPr>
            <w:tcW w:w="120" w:type="dxa"/>
            <w:vAlign w:val="bottom"/>
          </w:tcPr>
          <w:p>
            <w:pPr>
              <w:spacing w:after="0"/>
              <w:rPr>
                <w:sz w:val="17"/>
                <w:szCs w:val="17"/>
                <w:color w:val="auto"/>
              </w:rPr>
            </w:pPr>
          </w:p>
        </w:tc>
        <w:tc>
          <w:tcPr>
            <w:tcW w:w="7480" w:type="dxa"/>
            <w:vAlign w:val="bottom"/>
          </w:tcPr>
          <w:p>
            <w:pPr>
              <w:ind w:left="40"/>
              <w:spacing w:after="0" w:line="198" w:lineRule="exact"/>
              <w:rPr>
                <w:sz w:val="20"/>
                <w:szCs w:val="20"/>
                <w:color w:val="auto"/>
              </w:rPr>
            </w:pPr>
            <w:r>
              <w:rPr>
                <w:rFonts w:ascii="Times New Roman" w:cs="Times New Roman" w:eastAsia="Times New Roman" w:hAnsi="Times New Roman"/>
                <w:sz w:val="18"/>
                <w:szCs w:val="18"/>
                <w:color w:val="auto"/>
              </w:rPr>
              <w:t>Class A common stock, $0.001 par value; 330,000 shares authorized; 226,138 shares issued and</w:t>
            </w:r>
          </w:p>
        </w:tc>
        <w:tc>
          <w:tcPr>
            <w:tcW w:w="240" w:type="dxa"/>
            <w:vAlign w:val="bottom"/>
          </w:tcPr>
          <w:p>
            <w:pPr>
              <w:spacing w:after="0"/>
              <w:rPr>
                <w:sz w:val="17"/>
                <w:szCs w:val="17"/>
                <w:color w:val="auto"/>
              </w:rPr>
            </w:pPr>
          </w:p>
        </w:tc>
        <w:tc>
          <w:tcPr>
            <w:tcW w:w="1380" w:type="dxa"/>
            <w:vAlign w:val="bottom"/>
          </w:tcPr>
          <w:p>
            <w:pPr>
              <w:spacing w:after="0"/>
              <w:rPr>
                <w:sz w:val="17"/>
                <w:szCs w:val="17"/>
                <w:color w:val="auto"/>
              </w:rPr>
            </w:pPr>
          </w:p>
        </w:tc>
        <w:tc>
          <w:tcPr>
            <w:tcW w:w="280" w:type="dxa"/>
            <w:vAlign w:val="bottom"/>
          </w:tcPr>
          <w:p>
            <w:pPr>
              <w:spacing w:after="0"/>
              <w:rPr>
                <w:sz w:val="17"/>
                <w:szCs w:val="17"/>
                <w:color w:val="auto"/>
              </w:rPr>
            </w:pPr>
          </w:p>
        </w:tc>
        <w:tc>
          <w:tcPr>
            <w:tcW w:w="240" w:type="dxa"/>
            <w:vAlign w:val="bottom"/>
          </w:tcPr>
          <w:p>
            <w:pPr>
              <w:spacing w:after="0"/>
              <w:rPr>
                <w:sz w:val="17"/>
                <w:szCs w:val="17"/>
                <w:color w:val="auto"/>
              </w:rPr>
            </w:pPr>
          </w:p>
        </w:tc>
        <w:tc>
          <w:tcPr>
            <w:tcW w:w="1400" w:type="dxa"/>
            <w:vAlign w:val="bottom"/>
          </w:tcPr>
          <w:p>
            <w:pPr>
              <w:spacing w:after="0"/>
              <w:rPr>
                <w:sz w:val="17"/>
                <w:szCs w:val="17"/>
                <w:color w:val="auto"/>
              </w:rPr>
            </w:pPr>
          </w:p>
        </w:tc>
        <w:tc>
          <w:tcPr>
            <w:tcW w:w="100" w:type="dxa"/>
            <w:vAlign w:val="bottom"/>
          </w:tcPr>
          <w:p>
            <w:pPr>
              <w:spacing w:after="0"/>
              <w:rPr>
                <w:sz w:val="17"/>
                <w:szCs w:val="17"/>
                <w:color w:val="auto"/>
              </w:rPr>
            </w:pPr>
          </w:p>
        </w:tc>
      </w:tr>
      <w:tr>
        <w:trPr>
          <w:trHeight w:val="234"/>
        </w:trPr>
        <w:tc>
          <w:tcPr>
            <w:tcW w:w="120" w:type="dxa"/>
            <w:vAlign w:val="bottom"/>
          </w:tcPr>
          <w:p>
            <w:pPr>
              <w:spacing w:after="0"/>
              <w:rPr>
                <w:sz w:val="20"/>
                <w:szCs w:val="20"/>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226,138 shares outstanding, and 157,725 shares issued and 149,041 shares outstanding, respectively</w:t>
            </w: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226</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100" w:type="dxa"/>
            <w:vAlign w:val="bottom"/>
          </w:tcPr>
          <w:p>
            <w:pPr>
              <w:spacing w:after="0"/>
              <w:rPr>
                <w:sz w:val="20"/>
                <w:szCs w:val="20"/>
                <w:color w:val="auto"/>
              </w:rPr>
            </w:pPr>
          </w:p>
        </w:tc>
      </w:tr>
      <w:tr>
        <w:trPr>
          <w:trHeight w:val="198"/>
        </w:trPr>
        <w:tc>
          <w:tcPr>
            <w:tcW w:w="120" w:type="dxa"/>
            <w:vAlign w:val="bottom"/>
            <w:shd w:val="clear" w:color="auto" w:fill="CFF0FC"/>
          </w:tcPr>
          <w:p>
            <w:pPr>
              <w:spacing w:after="0"/>
              <w:rPr>
                <w:sz w:val="17"/>
                <w:szCs w:val="17"/>
                <w:color w:val="auto"/>
              </w:rPr>
            </w:pPr>
          </w:p>
        </w:tc>
        <w:tc>
          <w:tcPr>
            <w:tcW w:w="7480" w:type="dxa"/>
            <w:vAlign w:val="bottom"/>
            <w:shd w:val="clear" w:color="auto" w:fill="CFF0FC"/>
          </w:tcPr>
          <w:p>
            <w:pPr>
              <w:ind w:left="40"/>
              <w:spacing w:after="0" w:line="198" w:lineRule="exact"/>
              <w:rPr>
                <w:sz w:val="20"/>
                <w:szCs w:val="20"/>
                <w:color w:val="auto"/>
              </w:rPr>
            </w:pPr>
            <w:r>
              <w:rPr>
                <w:rFonts w:ascii="Times New Roman" w:cs="Times New Roman" w:eastAsia="Times New Roman" w:hAnsi="Times New Roman"/>
                <w:sz w:val="18"/>
                <w:szCs w:val="18"/>
                <w:color w:val="auto"/>
              </w:rPr>
              <w:t>Class B convertible common stock, $0.001 par value; 165,000 shares authorized; 19,640 shares</w:t>
            </w:r>
          </w:p>
        </w:tc>
        <w:tc>
          <w:tcPr>
            <w:tcW w:w="240" w:type="dxa"/>
            <w:vAlign w:val="bottom"/>
            <w:shd w:val="clear" w:color="auto" w:fill="CFF0FC"/>
          </w:tcPr>
          <w:p>
            <w:pPr>
              <w:spacing w:after="0"/>
              <w:rPr>
                <w:sz w:val="17"/>
                <w:szCs w:val="17"/>
                <w:color w:val="auto"/>
              </w:rPr>
            </w:pPr>
          </w:p>
        </w:tc>
        <w:tc>
          <w:tcPr>
            <w:tcW w:w="13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240" w:type="dxa"/>
            <w:vAlign w:val="bottom"/>
            <w:shd w:val="clear" w:color="auto" w:fill="CFF0FC"/>
          </w:tcPr>
          <w:p>
            <w:pPr>
              <w:spacing w:after="0"/>
              <w:rPr>
                <w:sz w:val="17"/>
                <w:szCs w:val="17"/>
                <w:color w:val="auto"/>
              </w:rPr>
            </w:pPr>
          </w:p>
        </w:tc>
        <w:tc>
          <w:tcPr>
            <w:tcW w:w="140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r>
      <w:tr>
        <w:trPr>
          <w:trHeight w:val="234"/>
        </w:trPr>
        <w:tc>
          <w:tcPr>
            <w:tcW w:w="120" w:type="dxa"/>
            <w:vAlign w:val="bottom"/>
            <w:shd w:val="clear" w:color="auto" w:fill="CFF0FC"/>
          </w:tcPr>
          <w:p>
            <w:pPr>
              <w:spacing w:after="0"/>
              <w:rPr>
                <w:sz w:val="20"/>
                <w:szCs w:val="20"/>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issued and outstanding, and 19,640 shares issued and outstanding, respectively</w:t>
            </w:r>
          </w:p>
        </w:tc>
        <w:tc>
          <w:tcPr>
            <w:tcW w:w="240" w:type="dxa"/>
            <w:vAlign w:val="bottom"/>
            <w:shd w:val="clear" w:color="auto" w:fill="CFF0FC"/>
          </w:tcPr>
          <w:p>
            <w:pPr>
              <w:spacing w:after="0"/>
              <w:rPr>
                <w:sz w:val="20"/>
                <w:szCs w:val="20"/>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w:t>
            </w: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w:t>
            </w:r>
          </w:p>
        </w:tc>
        <w:tc>
          <w:tcPr>
            <w:tcW w:w="100" w:type="dxa"/>
            <w:vAlign w:val="bottom"/>
            <w:shd w:val="clear" w:color="auto" w:fill="CFF0FC"/>
          </w:tcPr>
          <w:p>
            <w:pPr>
              <w:spacing w:after="0"/>
              <w:rPr>
                <w:sz w:val="20"/>
                <w:szCs w:val="20"/>
                <w:color w:val="auto"/>
              </w:rPr>
            </w:pPr>
          </w:p>
        </w:tc>
      </w:tr>
      <w:tr>
        <w:trPr>
          <w:trHeight w:val="216"/>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Additional paid-in capital</w:t>
            </w:r>
          </w:p>
        </w:tc>
        <w:tc>
          <w:tcPr>
            <w:tcW w:w="240" w:type="dxa"/>
            <w:vAlign w:val="bottom"/>
          </w:tcPr>
          <w:p>
            <w:pPr>
              <w:spacing w:after="0"/>
              <w:rPr>
                <w:sz w:val="18"/>
                <w:szCs w:val="18"/>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20,411,998</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3,957,728</w:t>
            </w:r>
          </w:p>
        </w:tc>
        <w:tc>
          <w:tcPr>
            <w:tcW w:w="100" w:type="dxa"/>
            <w:vAlign w:val="bottom"/>
          </w:tcPr>
          <w:p>
            <w:pPr>
              <w:spacing w:after="0"/>
              <w:rPr>
                <w:sz w:val="18"/>
                <w:szCs w:val="18"/>
                <w:color w:val="auto"/>
              </w:rPr>
            </w:pPr>
          </w:p>
        </w:tc>
      </w:tr>
      <w:tr>
        <w:trPr>
          <w:trHeight w:val="216"/>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Treasury stock, at cost; 0 shares and 8,684 shares, respectively</w:t>
            </w: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5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(782,104 )</w:t>
            </w:r>
          </w:p>
        </w:tc>
      </w:tr>
      <w:tr>
        <w:trPr>
          <w:trHeight w:val="216"/>
        </w:trPr>
        <w:tc>
          <w:tcPr>
            <w:tcW w:w="120" w:type="dxa"/>
            <w:vAlign w:val="bottom"/>
          </w:tcPr>
          <w:p>
            <w:pPr>
              <w:spacing w:after="0"/>
              <w:rPr>
                <w:sz w:val="18"/>
                <w:szCs w:val="18"/>
                <w:color w:val="auto"/>
              </w:rPr>
            </w:pPr>
          </w:p>
        </w:tc>
        <w:tc>
          <w:tcPr>
            <w:tcW w:w="748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Accumulated other comprehensive loss</w:t>
            </w:r>
          </w:p>
        </w:tc>
        <w:tc>
          <w:tcPr>
            <w:tcW w:w="240" w:type="dxa"/>
            <w:vAlign w:val="bottom"/>
          </w:tcPr>
          <w:p>
            <w:pPr>
              <w:spacing w:after="0"/>
              <w:rPr>
                <w:sz w:val="18"/>
                <w:szCs w:val="18"/>
                <w:color w:val="auto"/>
              </w:rPr>
            </w:pPr>
          </w:p>
        </w:tc>
        <w:tc>
          <w:tcPr>
            <w:tcW w:w="16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(15,384 )</w:t>
            </w:r>
          </w:p>
        </w:tc>
        <w:tc>
          <w:tcPr>
            <w:tcW w:w="240" w:type="dxa"/>
            <w:vAlign w:val="bottom"/>
          </w:tcPr>
          <w:p>
            <w:pPr>
              <w:spacing w:after="0"/>
              <w:rPr>
                <w:sz w:val="18"/>
                <w:szCs w:val="18"/>
                <w:color w:val="auto"/>
              </w:rPr>
            </w:pPr>
          </w:p>
        </w:tc>
        <w:tc>
          <w:tcPr>
            <w:tcW w:w="15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(11,444 )</w:t>
            </w:r>
          </w:p>
        </w:tc>
      </w:tr>
      <w:tr>
        <w:trPr>
          <w:trHeight w:val="216"/>
        </w:trPr>
        <w:tc>
          <w:tcPr>
            <w:tcW w:w="120" w:type="dxa"/>
            <w:vAlign w:val="bottom"/>
            <w:shd w:val="clear" w:color="auto" w:fill="CFF0FC"/>
          </w:tcPr>
          <w:p>
            <w:pPr>
              <w:spacing w:after="0"/>
              <w:rPr>
                <w:sz w:val="18"/>
                <w:szCs w:val="18"/>
                <w:color w:val="auto"/>
              </w:rPr>
            </w:pPr>
          </w:p>
        </w:tc>
        <w:tc>
          <w:tcPr>
            <w:tcW w:w="74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Accumulated deficit</w:t>
            </w:r>
          </w:p>
        </w:tc>
        <w:tc>
          <w:tcPr>
            <w:tcW w:w="240" w:type="dxa"/>
            <w:vAlign w:val="bottom"/>
            <w:shd w:val="clear" w:color="auto" w:fill="CFF0FC"/>
          </w:tcPr>
          <w:p>
            <w:pPr>
              <w:spacing w:after="0"/>
              <w:rPr>
                <w:sz w:val="18"/>
                <w:szCs w:val="18"/>
                <w:color w:val="auto"/>
              </w:rPr>
            </w:pPr>
          </w:p>
        </w:tc>
        <w:tc>
          <w:tcPr>
            <w:tcW w:w="16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(2,166,876 )</w:t>
            </w:r>
          </w:p>
        </w:tc>
        <w:tc>
          <w:tcPr>
            <w:tcW w:w="240" w:type="dxa"/>
            <w:vAlign w:val="bottom"/>
            <w:shd w:val="clear" w:color="auto" w:fill="CFF0FC"/>
          </w:tcPr>
          <w:p>
            <w:pPr>
              <w:spacing w:after="0"/>
              <w:rPr>
                <w:sz w:val="18"/>
                <w:szCs w:val="18"/>
                <w:color w:val="auto"/>
              </w:rPr>
            </w:pPr>
          </w:p>
        </w:tc>
        <w:tc>
          <w:tcPr>
            <w:tcW w:w="15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(999,234 )</w:t>
            </w:r>
          </w:p>
        </w:tc>
      </w:tr>
      <w:tr>
        <w:trPr>
          <w:trHeight w:val="210"/>
        </w:trPr>
        <w:tc>
          <w:tcPr>
            <w:tcW w:w="7600" w:type="dxa"/>
            <w:vAlign w:val="bottom"/>
            <w:tcBorders>
              <w:top w:val="single" w:sz="8" w:color="CFF0FC"/>
            </w:tcBorders>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Total stockholders’ equity</w:t>
            </w:r>
          </w:p>
        </w:tc>
        <w:tc>
          <w:tcPr>
            <w:tcW w:w="240" w:type="dxa"/>
            <w:vAlign w:val="bottom"/>
            <w:tcBorders>
              <w:top w:val="single" w:sz="8" w:color="auto"/>
              <w:bottom w:val="single" w:sz="8" w:color="auto"/>
            </w:tcBorders>
          </w:tcPr>
          <w:p>
            <w:pPr>
              <w:spacing w:after="0"/>
              <w:rPr>
                <w:sz w:val="18"/>
                <w:szCs w:val="18"/>
                <w:color w:val="auto"/>
              </w:rPr>
            </w:pPr>
          </w:p>
        </w:tc>
        <w:tc>
          <w:tcPr>
            <w:tcW w:w="13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18,229,984</w:t>
            </w:r>
          </w:p>
        </w:tc>
        <w:tc>
          <w:tcPr>
            <w:tcW w:w="280" w:type="dxa"/>
            <w:vAlign w:val="bottom"/>
            <w:tcBorders>
              <w:top w:val="single" w:sz="8" w:color="CFF0FC"/>
            </w:tcBorders>
          </w:tcPr>
          <w:p>
            <w:pPr>
              <w:spacing w:after="0"/>
              <w:rPr>
                <w:sz w:val="18"/>
                <w:szCs w:val="18"/>
                <w:color w:val="auto"/>
              </w:rPr>
            </w:pPr>
          </w:p>
        </w:tc>
        <w:tc>
          <w:tcPr>
            <w:tcW w:w="240" w:type="dxa"/>
            <w:vAlign w:val="bottom"/>
            <w:tcBorders>
              <w:top w:val="single" w:sz="8" w:color="auto"/>
              <w:bottom w:val="single" w:sz="8" w:color="auto"/>
            </w:tcBorders>
          </w:tcPr>
          <w:p>
            <w:pPr>
              <w:spacing w:after="0"/>
              <w:rPr>
                <w:sz w:val="18"/>
                <w:szCs w:val="18"/>
                <w:color w:val="auto"/>
              </w:rPr>
            </w:pPr>
          </w:p>
        </w:tc>
        <w:tc>
          <w:tcPr>
            <w:tcW w:w="140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2,164,972</w:t>
            </w:r>
          </w:p>
        </w:tc>
        <w:tc>
          <w:tcPr>
            <w:tcW w:w="100" w:type="dxa"/>
            <w:vAlign w:val="bottom"/>
            <w:tcBorders>
              <w:top w:val="single" w:sz="8" w:color="CFF0FC"/>
            </w:tcBorders>
          </w:tcPr>
          <w:p>
            <w:pPr>
              <w:spacing w:after="0"/>
              <w:rPr>
                <w:sz w:val="18"/>
                <w:szCs w:val="18"/>
                <w:color w:val="auto"/>
              </w:rPr>
            </w:pPr>
          </w:p>
        </w:tc>
      </w:tr>
      <w:tr>
        <w:trPr>
          <w:trHeight w:val="250"/>
        </w:trPr>
        <w:tc>
          <w:tcPr>
            <w:tcW w:w="760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Total liabilities and stockholders’ equity</w:t>
            </w:r>
          </w:p>
        </w:tc>
        <w:tc>
          <w:tcPr>
            <w:tcW w:w="240" w:type="dxa"/>
            <w:vAlign w:val="bottom"/>
            <w:tcBorders>
              <w:bottom w:val="single" w:sz="8" w:color="auto"/>
            </w:tcBorders>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25,843,685</w:t>
            </w:r>
          </w:p>
        </w:tc>
        <w:tc>
          <w:tcPr>
            <w:tcW w:w="280" w:type="dxa"/>
            <w:vAlign w:val="bottom"/>
            <w:tcBorders>
              <w:bottom w:val="single" w:sz="8" w:color="CFF0FC"/>
            </w:tcBorders>
            <w:shd w:val="clear" w:color="auto" w:fill="CFF0FC"/>
          </w:tcPr>
          <w:p>
            <w:pPr>
              <w:spacing w:after="0"/>
              <w:rPr>
                <w:sz w:val="21"/>
                <w:szCs w:val="21"/>
                <w:color w:val="auto"/>
              </w:rPr>
            </w:pPr>
          </w:p>
        </w:tc>
        <w:tc>
          <w:tcPr>
            <w:tcW w:w="240" w:type="dxa"/>
            <w:vAlign w:val="bottom"/>
            <w:tcBorders>
              <w:bottom w:val="single" w:sz="8" w:color="auto"/>
            </w:tcBorders>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4,762,528</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413"/>
        </w:trPr>
        <w:tc>
          <w:tcPr>
            <w:tcW w:w="120" w:type="dxa"/>
            <w:vAlign w:val="bottom"/>
          </w:tcPr>
          <w:p>
            <w:pPr>
              <w:spacing w:after="0"/>
              <w:rPr>
                <w:sz w:val="20"/>
                <w:szCs w:val="20"/>
                <w:color w:val="auto"/>
              </w:rPr>
            </w:pPr>
            <w:r>
              <w:rPr>
                <w:rFonts w:ascii="Times New Roman" w:cs="Times New Roman" w:eastAsia="Times New Roman" w:hAnsi="Times New Roman"/>
                <w:sz w:val="18"/>
                <w:szCs w:val="18"/>
                <w:color w:val="auto"/>
              </w:rPr>
              <w:t>*</w:t>
            </w:r>
          </w:p>
        </w:tc>
        <w:tc>
          <w:tcPr>
            <w:tcW w:w="7480" w:type="dxa"/>
            <w:vAlign w:val="bottom"/>
          </w:tcPr>
          <w:p>
            <w:pPr>
              <w:ind w:left="240"/>
              <w:spacing w:after="0"/>
              <w:rPr>
                <w:sz w:val="20"/>
                <w:szCs w:val="20"/>
                <w:color w:val="auto"/>
              </w:rPr>
            </w:pPr>
            <w:r>
              <w:rPr>
                <w:rFonts w:ascii="Times New Roman" w:cs="Times New Roman" w:eastAsia="Times New Roman" w:hAnsi="Times New Roman"/>
                <w:sz w:val="18"/>
                <w:szCs w:val="18"/>
                <w:color w:val="auto"/>
              </w:rPr>
              <w:t>Derived from audited financial statements.</w:t>
            </w:r>
          </w:p>
        </w:tc>
        <w:tc>
          <w:tcPr>
            <w:tcW w:w="240" w:type="dxa"/>
            <w:vAlign w:val="bottom"/>
          </w:tcPr>
          <w:p>
            <w:pPr>
              <w:spacing w:after="0"/>
              <w:rPr>
                <w:sz w:val="24"/>
                <w:szCs w:val="24"/>
                <w:color w:val="auto"/>
              </w:rPr>
            </w:pPr>
          </w:p>
        </w:tc>
        <w:tc>
          <w:tcPr>
            <w:tcW w:w="138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00" w:type="dxa"/>
            <w:vAlign w:val="bottom"/>
          </w:tcPr>
          <w:p>
            <w:pPr>
              <w:spacing w:after="0"/>
              <w:rPr>
                <w:sz w:val="24"/>
                <w:szCs w:val="24"/>
                <w:color w:val="auto"/>
              </w:rPr>
            </w:pPr>
          </w:p>
        </w:tc>
      </w:tr>
      <w:tr>
        <w:trPr>
          <w:trHeight w:val="1006"/>
        </w:trPr>
        <w:tc>
          <w:tcPr>
            <w:tcW w:w="120" w:type="dxa"/>
            <w:vAlign w:val="bottom"/>
            <w:tcBorders>
              <w:bottom w:val="single" w:sz="8" w:color="9A9A9A"/>
            </w:tcBorders>
          </w:tcPr>
          <w:p>
            <w:pPr>
              <w:spacing w:after="0"/>
              <w:rPr>
                <w:sz w:val="24"/>
                <w:szCs w:val="24"/>
                <w:color w:val="auto"/>
              </w:rPr>
            </w:pPr>
          </w:p>
        </w:tc>
        <w:tc>
          <w:tcPr>
            <w:tcW w:w="748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38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4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5859780</wp:posOffset>
            </wp:positionH>
            <wp:positionV relativeFrom="paragraph">
              <wp:posOffset>-5280025</wp:posOffset>
            </wp:positionV>
            <wp:extent cx="68580" cy="825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-5280025</wp:posOffset>
            </wp:positionV>
            <wp:extent cx="68580" cy="825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5859780</wp:posOffset>
            </wp:positionH>
            <wp:positionV relativeFrom="paragraph">
              <wp:posOffset>-3042285</wp:posOffset>
            </wp:positionV>
            <wp:extent cx="68580" cy="825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-3042285</wp:posOffset>
            </wp:positionV>
            <wp:extent cx="68580" cy="825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5859780</wp:posOffset>
            </wp:positionH>
            <wp:positionV relativeFrom="paragraph">
              <wp:posOffset>-1242695</wp:posOffset>
            </wp:positionV>
            <wp:extent cx="68580" cy="889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-1242695</wp:posOffset>
            </wp:positionV>
            <wp:extent cx="68580" cy="889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5859780</wp:posOffset>
            </wp:positionH>
            <wp:positionV relativeFrom="paragraph">
              <wp:posOffset>-950595</wp:posOffset>
            </wp:positionV>
            <wp:extent cx="68580" cy="889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5859780</wp:posOffset>
            </wp:positionH>
            <wp:positionV relativeFrom="paragraph">
              <wp:posOffset>-933450</wp:posOffset>
            </wp:positionV>
            <wp:extent cx="68580" cy="889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-950595</wp:posOffset>
            </wp:positionV>
            <wp:extent cx="68580" cy="889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-933450</wp:posOffset>
            </wp:positionV>
            <wp:extent cx="68580" cy="889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1" w:name="page12"/>
    <w:bookmarkEnd w:id="11"/>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CONDENSED STATEMENTS OF CASH FLOWS</w:t>
      </w:r>
    </w:p>
    <w:p>
      <w:pPr>
        <w:spacing w:after="0" w:line="9"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200" w:lineRule="exact"/>
        <w:rPr>
          <w:sz w:val="20"/>
          <w:szCs w:val="20"/>
          <w:color w:val="auto"/>
        </w:rPr>
      </w:pPr>
    </w:p>
    <w:p>
      <w:pPr>
        <w:jc w:val="center"/>
        <w:ind w:left="7460"/>
        <w:spacing w:after="0"/>
        <w:rPr>
          <w:sz w:val="20"/>
          <w:szCs w:val="20"/>
          <w:color w:val="auto"/>
        </w:rPr>
      </w:pPr>
      <w:r>
        <w:rPr>
          <w:rFonts w:ascii="Times New Roman" w:cs="Times New Roman" w:eastAsia="Times New Roman" w:hAnsi="Times New Roman"/>
          <w:sz w:val="14"/>
          <w:szCs w:val="14"/>
          <w:b w:val="1"/>
          <w:bCs w:val="1"/>
          <w:color w:val="auto"/>
        </w:rPr>
        <w:t>Twelve Months Ended</w:t>
      </w:r>
    </w:p>
    <w:p>
      <w:pPr>
        <w:jc w:val="center"/>
        <w:ind w:left="7460"/>
        <w:spacing w:after="0"/>
        <w:rPr>
          <w:sz w:val="20"/>
          <w:szCs w:val="20"/>
          <w:color w:val="auto"/>
        </w:rPr>
      </w:pPr>
      <w:r>
        <w:rPr>
          <w:rFonts w:ascii="Times New Roman" w:cs="Times New Roman" w:eastAsia="Times New Roman" w:hAnsi="Times New Roman"/>
          <w:sz w:val="14"/>
          <w:szCs w:val="14"/>
          <w:b w:val="1"/>
          <w:bCs w:val="1"/>
          <w:color w:val="auto"/>
        </w:rPr>
        <w:t>December 31,</w:t>
      </w:r>
    </w:p>
    <w:tbl>
      <w:tblPr>
        <w:tblLayout w:type="fixed"/>
        <w:tblInd w:w="0" w:type="dxa"/>
        <w:tblCellMar>
          <w:top w:w="0" w:type="dxa"/>
          <w:left w:w="0" w:type="dxa"/>
          <w:bottom w:w="0" w:type="dxa"/>
          <w:right w:w="0" w:type="dxa"/>
        </w:tblCellMar>
      </w:tblPr>
      <w:tr>
        <w:trPr>
          <w:trHeight w:val="142"/>
        </w:trPr>
        <w:tc>
          <w:tcPr>
            <w:tcW w:w="240" w:type="dxa"/>
            <w:vAlign w:val="bottom"/>
          </w:tcPr>
          <w:p>
            <w:pPr>
              <w:spacing w:after="0"/>
              <w:rPr>
                <w:sz w:val="12"/>
                <w:szCs w:val="12"/>
                <w:color w:val="auto"/>
              </w:rPr>
            </w:pPr>
          </w:p>
        </w:tc>
        <w:tc>
          <w:tcPr>
            <w:tcW w:w="7360" w:type="dxa"/>
            <w:vAlign w:val="bottom"/>
          </w:tcPr>
          <w:p>
            <w:pPr>
              <w:spacing w:after="0"/>
              <w:rPr>
                <w:sz w:val="12"/>
                <w:szCs w:val="12"/>
                <w:color w:val="auto"/>
              </w:rPr>
            </w:pPr>
          </w:p>
        </w:tc>
        <w:tc>
          <w:tcPr>
            <w:tcW w:w="280" w:type="dxa"/>
            <w:vAlign w:val="bottom"/>
            <w:tcBorders>
              <w:top w:val="single" w:sz="8" w:color="auto"/>
              <w:bottom w:val="single" w:sz="8" w:color="auto"/>
            </w:tcBorders>
          </w:tcPr>
          <w:p>
            <w:pPr>
              <w:spacing w:after="0"/>
              <w:rPr>
                <w:sz w:val="12"/>
                <w:szCs w:val="12"/>
                <w:color w:val="auto"/>
              </w:rPr>
            </w:pPr>
          </w:p>
        </w:tc>
        <w:tc>
          <w:tcPr>
            <w:tcW w:w="1340" w:type="dxa"/>
            <w:vAlign w:val="bottom"/>
            <w:tcBorders>
              <w:top w:val="single" w:sz="8" w:color="auto"/>
              <w:bottom w:val="single" w:sz="8" w:color="auto"/>
            </w:tcBorders>
          </w:tcPr>
          <w:p>
            <w:pPr>
              <w:jc w:val="right"/>
              <w:ind w:right="574"/>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Borders>
              <w:top w:val="single" w:sz="8" w:color="auto"/>
            </w:tcBorders>
          </w:tcPr>
          <w:p>
            <w:pPr>
              <w:spacing w:after="0"/>
              <w:rPr>
                <w:sz w:val="12"/>
                <w:szCs w:val="12"/>
                <w:color w:val="auto"/>
              </w:rPr>
            </w:pPr>
          </w:p>
        </w:tc>
        <w:tc>
          <w:tcPr>
            <w:tcW w:w="360" w:type="dxa"/>
            <w:vAlign w:val="bottom"/>
            <w:tcBorders>
              <w:top w:val="single" w:sz="8" w:color="auto"/>
              <w:bottom w:val="single" w:sz="8" w:color="auto"/>
            </w:tcBorders>
          </w:tcPr>
          <w:p>
            <w:pPr>
              <w:spacing w:after="0"/>
              <w:rPr>
                <w:sz w:val="12"/>
                <w:szCs w:val="12"/>
                <w:color w:val="auto"/>
              </w:rPr>
            </w:pPr>
          </w:p>
        </w:tc>
        <w:tc>
          <w:tcPr>
            <w:tcW w:w="1280" w:type="dxa"/>
            <w:vAlign w:val="bottom"/>
            <w:tcBorders>
              <w:top w:val="single" w:sz="8" w:color="auto"/>
              <w:bottom w:val="single" w:sz="8" w:color="auto"/>
            </w:tcBorders>
          </w:tcPr>
          <w:p>
            <w:pPr>
              <w:jc w:val="right"/>
              <w:ind w:right="552"/>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24"/>
        </w:trPr>
        <w:tc>
          <w:tcPr>
            <w:tcW w:w="240" w:type="dxa"/>
            <w:vAlign w:val="bottom"/>
          </w:tcPr>
          <w:p>
            <w:pPr>
              <w:spacing w:after="0"/>
              <w:rPr>
                <w:sz w:val="10"/>
                <w:szCs w:val="10"/>
                <w:color w:val="auto"/>
              </w:rPr>
            </w:pPr>
          </w:p>
        </w:tc>
        <w:tc>
          <w:tcPr>
            <w:tcW w:w="7360" w:type="dxa"/>
            <w:vAlign w:val="bottom"/>
          </w:tcPr>
          <w:p>
            <w:pPr>
              <w:spacing w:after="0"/>
              <w:rPr>
                <w:sz w:val="10"/>
                <w:szCs w:val="10"/>
                <w:color w:val="auto"/>
              </w:rPr>
            </w:pPr>
          </w:p>
        </w:tc>
        <w:tc>
          <w:tcPr>
            <w:tcW w:w="280" w:type="dxa"/>
            <w:vAlign w:val="bottom"/>
          </w:tcPr>
          <w:p>
            <w:pPr>
              <w:spacing w:after="0"/>
              <w:rPr>
                <w:sz w:val="10"/>
                <w:szCs w:val="10"/>
                <w:color w:val="auto"/>
              </w:rPr>
            </w:pPr>
          </w:p>
        </w:tc>
        <w:tc>
          <w:tcPr>
            <w:tcW w:w="1340" w:type="dxa"/>
            <w:vAlign w:val="bottom"/>
          </w:tcPr>
          <w:p>
            <w:pPr>
              <w:jc w:val="right"/>
              <w:ind w:right="394"/>
              <w:spacing w:after="0" w:line="124" w:lineRule="exact"/>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0"/>
                <w:szCs w:val="10"/>
                <w:color w:val="auto"/>
              </w:rPr>
            </w:pPr>
          </w:p>
        </w:tc>
        <w:tc>
          <w:tcPr>
            <w:tcW w:w="360" w:type="dxa"/>
            <w:vAlign w:val="bottom"/>
          </w:tcPr>
          <w:p>
            <w:pPr>
              <w:spacing w:after="0"/>
              <w:rPr>
                <w:sz w:val="10"/>
                <w:szCs w:val="10"/>
                <w:color w:val="auto"/>
              </w:rPr>
            </w:pPr>
          </w:p>
        </w:tc>
        <w:tc>
          <w:tcPr>
            <w:tcW w:w="12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34"/>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Net cash (used in) provided by operating activities</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(53,032 )</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12,712</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cash used in investing activities</w:t>
            </w:r>
          </w:p>
        </w:tc>
        <w:tc>
          <w:tcPr>
            <w:tcW w:w="280" w:type="dxa"/>
            <w:vAlign w:val="bottom"/>
            <w:shd w:val="clear" w:color="auto" w:fill="CFF0FC"/>
          </w:tcPr>
          <w:p>
            <w:pPr>
              <w:spacing w:after="0"/>
              <w:rPr>
                <w:sz w:val="18"/>
                <w:szCs w:val="18"/>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(22,086,237 )</w:t>
            </w:r>
          </w:p>
        </w:tc>
        <w:tc>
          <w:tcPr>
            <w:tcW w:w="360" w:type="dxa"/>
            <w:vAlign w:val="bottom"/>
            <w:shd w:val="clear" w:color="auto" w:fill="CFF0FC"/>
          </w:tcPr>
          <w:p>
            <w:pPr>
              <w:spacing w:after="0"/>
              <w:rPr>
                <w:sz w:val="18"/>
                <w:szCs w:val="18"/>
                <w:color w:val="auto"/>
              </w:rPr>
            </w:pPr>
          </w:p>
        </w:tc>
        <w:tc>
          <w:tcPr>
            <w:tcW w:w="13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(1,905,237 )</w:t>
            </w:r>
          </w:p>
        </w:tc>
        <w:tc>
          <w:tcPr>
            <w:tcW w:w="0" w:type="dxa"/>
            <w:vAlign w:val="bottom"/>
          </w:tcPr>
          <w:p>
            <w:pPr>
              <w:spacing w:after="0"/>
              <w:rPr>
                <w:sz w:val="1"/>
                <w:szCs w:val="1"/>
                <w:color w:val="auto"/>
              </w:rPr>
            </w:pPr>
          </w:p>
        </w:tc>
      </w:tr>
      <w:tr>
        <w:trPr>
          <w:trHeight w:val="216"/>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Net cash provided by financing activities</w:t>
            </w:r>
          </w:p>
        </w:tc>
        <w:tc>
          <w:tcPr>
            <w:tcW w:w="28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22,132,641</w:t>
            </w:r>
          </w:p>
        </w:tc>
        <w:tc>
          <w:tcPr>
            <w:tcW w:w="280" w:type="dxa"/>
            <w:vAlign w:val="bottom"/>
          </w:tcPr>
          <w:p>
            <w:pPr>
              <w:spacing w:after="0"/>
              <w:rPr>
                <w:sz w:val="18"/>
                <w:szCs w:val="18"/>
                <w:color w:val="auto"/>
              </w:rPr>
            </w:pPr>
          </w:p>
        </w:tc>
        <w:tc>
          <w:tcPr>
            <w:tcW w:w="360" w:type="dxa"/>
            <w:vAlign w:val="bottom"/>
          </w:tcPr>
          <w:p>
            <w:pPr>
              <w:spacing w:after="0"/>
              <w:rPr>
                <w:sz w:val="18"/>
                <w:szCs w:val="18"/>
                <w:color w:val="auto"/>
              </w:rPr>
            </w:pPr>
          </w:p>
        </w:tc>
        <w:tc>
          <w:tcPr>
            <w:tcW w:w="1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1,889,886</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60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Effect of foreign exchange rate changes on cash, cash equivalents, and restricted cash</w:t>
            </w:r>
          </w:p>
        </w:tc>
        <w:tc>
          <w:tcPr>
            <w:tcW w:w="280" w:type="dxa"/>
            <w:vAlign w:val="bottom"/>
            <w:shd w:val="clear" w:color="auto" w:fill="CFF0FC"/>
          </w:tcPr>
          <w:p>
            <w:pPr>
              <w:spacing w:after="0"/>
              <w:rPr>
                <w:sz w:val="18"/>
                <w:szCs w:val="18"/>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(2,148 )</w:t>
            </w:r>
          </w:p>
        </w:tc>
        <w:tc>
          <w:tcPr>
            <w:tcW w:w="360" w:type="dxa"/>
            <w:vAlign w:val="bottom"/>
            <w:shd w:val="clear" w:color="auto" w:fill="CFF0FC"/>
          </w:tcPr>
          <w:p>
            <w:pPr>
              <w:spacing w:after="0"/>
              <w:rPr>
                <w:sz w:val="18"/>
                <w:szCs w:val="18"/>
                <w:color w:val="auto"/>
              </w:rPr>
            </w:pP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444</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240" w:type="dxa"/>
            <w:vAlign w:val="bottom"/>
            <w:shd w:val="clear" w:color="auto" w:fill="CFF0FC"/>
          </w:tcPr>
          <w:p>
            <w:pPr>
              <w:spacing w:after="0" w:line="20" w:lineRule="exact"/>
              <w:rPr>
                <w:sz w:val="1"/>
                <w:szCs w:val="1"/>
                <w:color w:val="auto"/>
              </w:rPr>
            </w:pPr>
          </w:p>
        </w:tc>
        <w:tc>
          <w:tcPr>
            <w:tcW w:w="7360" w:type="dxa"/>
            <w:vAlign w:val="bottom"/>
            <w:shd w:val="clear" w:color="auto" w:fill="CFF0FC"/>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1340" w:type="dxa"/>
            <w:vAlign w:val="bottom"/>
            <w:shd w:val="clear" w:color="auto" w:fill="000000"/>
          </w:tcPr>
          <w:p>
            <w:pPr>
              <w:spacing w:after="0" w:line="20" w:lineRule="exact"/>
              <w:rPr>
                <w:sz w:val="1"/>
                <w:szCs w:val="1"/>
                <w:color w:val="auto"/>
              </w:rPr>
            </w:pPr>
          </w:p>
        </w:tc>
        <w:tc>
          <w:tcPr>
            <w:tcW w:w="280" w:type="dxa"/>
            <w:vAlign w:val="bottom"/>
            <w:shd w:val="clear" w:color="auto" w:fill="CFF0FC"/>
          </w:tcPr>
          <w:p>
            <w:pPr>
              <w:spacing w:after="0" w:line="20" w:lineRule="exact"/>
              <w:rPr>
                <w:sz w:val="1"/>
                <w:szCs w:val="1"/>
                <w:color w:val="auto"/>
              </w:rPr>
            </w:pPr>
          </w:p>
        </w:tc>
        <w:tc>
          <w:tcPr>
            <w:tcW w:w="360" w:type="dxa"/>
            <w:vAlign w:val="bottom"/>
            <w:shd w:val="clear" w:color="auto" w:fill="000000"/>
          </w:tcPr>
          <w:p>
            <w:pPr>
              <w:spacing w:after="0" w:line="20" w:lineRule="exact"/>
              <w:rPr>
                <w:sz w:val="1"/>
                <w:szCs w:val="1"/>
                <w:color w:val="auto"/>
              </w:rPr>
            </w:pPr>
          </w:p>
        </w:tc>
        <w:tc>
          <w:tcPr>
            <w:tcW w:w="128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09"/>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Net decrease in cash, cash equivalents, and restricted cash</w:t>
            </w:r>
          </w:p>
        </w:tc>
        <w:tc>
          <w:tcPr>
            <w:tcW w:w="280" w:type="dxa"/>
            <w:vAlign w:val="bottom"/>
          </w:tcPr>
          <w:p>
            <w:pPr>
              <w:spacing w:after="0"/>
              <w:rPr>
                <w:sz w:val="18"/>
                <w:szCs w:val="18"/>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(8,776 )</w:t>
            </w:r>
          </w:p>
        </w:tc>
        <w:tc>
          <w:tcPr>
            <w:tcW w:w="360" w:type="dxa"/>
            <w:vAlign w:val="bottom"/>
          </w:tcPr>
          <w:p>
            <w:pPr>
              <w:spacing w:after="0"/>
              <w:rPr>
                <w:sz w:val="18"/>
                <w:szCs w:val="18"/>
                <w:color w:val="auto"/>
              </w:rPr>
            </w:pPr>
          </w:p>
        </w:tc>
        <w:tc>
          <w:tcPr>
            <w:tcW w:w="13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(2,195 )</w:t>
            </w:r>
          </w:p>
        </w:tc>
        <w:tc>
          <w:tcPr>
            <w:tcW w:w="0" w:type="dxa"/>
            <w:vAlign w:val="bottom"/>
          </w:tcPr>
          <w:p>
            <w:pPr>
              <w:spacing w:after="0"/>
              <w:rPr>
                <w:sz w:val="1"/>
                <w:szCs w:val="1"/>
                <w:color w:val="auto"/>
              </w:rPr>
            </w:pPr>
          </w:p>
        </w:tc>
      </w:tr>
      <w:tr>
        <w:trPr>
          <w:trHeight w:val="216"/>
        </w:trPr>
        <w:tc>
          <w:tcPr>
            <w:tcW w:w="760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Cash, cash equivalents, and restricted cash, beginning of year</w:t>
            </w:r>
          </w:p>
        </w:tc>
        <w:tc>
          <w:tcPr>
            <w:tcW w:w="280" w:type="dxa"/>
            <w:vAlign w:val="bottom"/>
            <w:tcBorders>
              <w:bottom w:val="single" w:sz="8" w:color="auto"/>
            </w:tcBorders>
            <w:shd w:val="clear" w:color="auto" w:fill="CFF0FC"/>
          </w:tcPr>
          <w:p>
            <w:pPr>
              <w:spacing w:after="0"/>
              <w:rPr>
                <w:sz w:val="18"/>
                <w:szCs w:val="18"/>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48,673</w:t>
            </w:r>
          </w:p>
        </w:tc>
        <w:tc>
          <w:tcPr>
            <w:tcW w:w="280" w:type="dxa"/>
            <w:vAlign w:val="bottom"/>
            <w:tcBorders>
              <w:bottom w:val="single" w:sz="8" w:color="CFF0FC"/>
            </w:tcBorders>
            <w:shd w:val="clear" w:color="auto" w:fill="CFF0FC"/>
          </w:tcPr>
          <w:p>
            <w:pPr>
              <w:spacing w:after="0"/>
              <w:rPr>
                <w:sz w:val="18"/>
                <w:szCs w:val="18"/>
                <w:color w:val="auto"/>
              </w:rPr>
            </w:pPr>
          </w:p>
        </w:tc>
        <w:tc>
          <w:tcPr>
            <w:tcW w:w="360" w:type="dxa"/>
            <w:vAlign w:val="bottom"/>
            <w:tcBorders>
              <w:bottom w:val="single" w:sz="8" w:color="auto"/>
            </w:tcBorders>
            <w:shd w:val="clear" w:color="auto" w:fill="CFF0FC"/>
          </w:tcPr>
          <w:p>
            <w:pPr>
              <w:spacing w:after="0"/>
              <w:rPr>
                <w:sz w:val="18"/>
                <w:szCs w:val="18"/>
                <w:color w:val="auto"/>
              </w:rPr>
            </w:pPr>
          </w:p>
        </w:tc>
        <w:tc>
          <w:tcPr>
            <w:tcW w:w="12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50,868</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76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Cash, cash equivalents, and restricted cash, end of year</w:t>
            </w:r>
          </w:p>
        </w:tc>
        <w:tc>
          <w:tcPr>
            <w:tcW w:w="280" w:type="dxa"/>
            <w:vAlign w:val="bottom"/>
            <w:tcBorders>
              <w:bottom w:val="single" w:sz="8" w:color="auto"/>
            </w:tcBorders>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39,897</w:t>
            </w:r>
          </w:p>
        </w:tc>
        <w:tc>
          <w:tcPr>
            <w:tcW w:w="280" w:type="dxa"/>
            <w:vAlign w:val="bottom"/>
          </w:tcPr>
          <w:p>
            <w:pPr>
              <w:spacing w:after="0"/>
              <w:rPr>
                <w:sz w:val="18"/>
                <w:szCs w:val="18"/>
                <w:color w:val="auto"/>
              </w:rPr>
            </w:pPr>
          </w:p>
        </w:tc>
        <w:tc>
          <w:tcPr>
            <w:tcW w:w="360" w:type="dxa"/>
            <w:vAlign w:val="bottom"/>
            <w:tcBorders>
              <w:bottom w:val="single" w:sz="8" w:color="auto"/>
            </w:tcBorders>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48,673</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240" w:type="dxa"/>
            <w:vAlign w:val="bottom"/>
            <w:vMerge w:val="restart"/>
          </w:tcPr>
          <w:p>
            <w:pPr>
              <w:spacing w:after="0"/>
              <w:rPr>
                <w:sz w:val="20"/>
                <w:szCs w:val="20"/>
                <w:color w:val="auto"/>
              </w:rPr>
            </w:pPr>
            <w:r>
              <w:rPr>
                <w:rFonts w:ascii="Times New Roman" w:cs="Times New Roman" w:eastAsia="Times New Roman" w:hAnsi="Times New Roman"/>
                <w:sz w:val="18"/>
                <w:szCs w:val="18"/>
                <w:color w:val="auto"/>
              </w:rPr>
              <w:t>*</w:t>
            </w:r>
          </w:p>
        </w:tc>
        <w:tc>
          <w:tcPr>
            <w:tcW w:w="7360" w:type="dxa"/>
            <w:vAlign w:val="bottom"/>
            <w:vMerge w:val="restart"/>
          </w:tcPr>
          <w:p>
            <w:pPr>
              <w:ind w:left="120"/>
              <w:spacing w:after="0"/>
              <w:rPr>
                <w:sz w:val="20"/>
                <w:szCs w:val="20"/>
                <w:color w:val="auto"/>
              </w:rPr>
            </w:pPr>
            <w:r>
              <w:rPr>
                <w:rFonts w:ascii="Times New Roman" w:cs="Times New Roman" w:eastAsia="Times New Roman" w:hAnsi="Times New Roman"/>
                <w:sz w:val="18"/>
                <w:szCs w:val="18"/>
                <w:color w:val="auto"/>
              </w:rPr>
              <w:t>Derived from audited financial statements.</w:t>
            </w:r>
          </w:p>
        </w:tc>
        <w:tc>
          <w:tcPr>
            <w:tcW w:w="280" w:type="dxa"/>
            <w:vAlign w:val="bottom"/>
            <w:tcBorders>
              <w:bottom w:val="single" w:sz="8" w:color="auto"/>
            </w:tcBorders>
          </w:tcPr>
          <w:p>
            <w:pPr>
              <w:spacing w:after="0" w:line="20" w:lineRule="exact"/>
              <w:rPr>
                <w:sz w:val="1"/>
                <w:szCs w:val="1"/>
                <w:color w:val="auto"/>
              </w:rPr>
            </w:pPr>
          </w:p>
        </w:tc>
        <w:tc>
          <w:tcPr>
            <w:tcW w:w="134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360" w:type="dxa"/>
            <w:vAlign w:val="bottom"/>
            <w:tcBorders>
              <w:bottom w:val="single" w:sz="8" w:color="auto"/>
            </w:tcBorders>
          </w:tcPr>
          <w:p>
            <w:pPr>
              <w:spacing w:after="0" w:line="20" w:lineRule="exact"/>
              <w:rPr>
                <w:sz w:val="1"/>
                <w:szCs w:val="1"/>
                <w:color w:val="auto"/>
              </w:rPr>
            </w:pPr>
          </w:p>
        </w:tc>
        <w:tc>
          <w:tcPr>
            <w:tcW w:w="128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413"/>
        </w:trPr>
        <w:tc>
          <w:tcPr>
            <w:tcW w:w="240" w:type="dxa"/>
            <w:vAlign w:val="bottom"/>
            <w:vMerge w:val="continue"/>
          </w:tcPr>
          <w:p>
            <w:pPr>
              <w:spacing w:after="0"/>
              <w:rPr>
                <w:sz w:val="24"/>
                <w:szCs w:val="24"/>
                <w:color w:val="auto"/>
              </w:rPr>
            </w:pPr>
          </w:p>
        </w:tc>
        <w:tc>
          <w:tcPr>
            <w:tcW w:w="7360" w:type="dxa"/>
            <w:vAlign w:val="bottom"/>
            <w:vMerge w:val="continue"/>
          </w:tcPr>
          <w:p>
            <w:pPr>
              <w:spacing w:after="0"/>
              <w:rPr>
                <w:sz w:val="24"/>
                <w:szCs w:val="24"/>
                <w:color w:val="auto"/>
              </w:rPr>
            </w:pPr>
          </w:p>
        </w:tc>
        <w:tc>
          <w:tcPr>
            <w:tcW w:w="280" w:type="dxa"/>
            <w:vAlign w:val="bottom"/>
          </w:tcPr>
          <w:p>
            <w:pPr>
              <w:spacing w:after="0"/>
              <w:rPr>
                <w:sz w:val="24"/>
                <w:szCs w:val="24"/>
                <w:color w:val="auto"/>
              </w:rPr>
            </w:pPr>
          </w:p>
        </w:tc>
        <w:tc>
          <w:tcPr>
            <w:tcW w:w="134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006"/>
        </w:trPr>
        <w:tc>
          <w:tcPr>
            <w:tcW w:w="240" w:type="dxa"/>
            <w:vAlign w:val="bottom"/>
            <w:tcBorders>
              <w:bottom w:val="single" w:sz="8" w:color="9A9A9A"/>
            </w:tcBorders>
          </w:tcPr>
          <w:p>
            <w:pPr>
              <w:spacing w:after="0"/>
              <w:rPr>
                <w:sz w:val="24"/>
                <w:szCs w:val="24"/>
                <w:color w:val="auto"/>
              </w:rPr>
            </w:pPr>
          </w:p>
        </w:tc>
        <w:tc>
          <w:tcPr>
            <w:tcW w:w="736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134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12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5859780</wp:posOffset>
            </wp:positionH>
            <wp:positionV relativeFrom="paragraph">
              <wp:posOffset>-1379220</wp:posOffset>
            </wp:positionV>
            <wp:extent cx="68580" cy="825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-1379220</wp:posOffset>
            </wp:positionV>
            <wp:extent cx="68580" cy="825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5859780</wp:posOffset>
            </wp:positionH>
            <wp:positionV relativeFrom="paragraph">
              <wp:posOffset>-1096645</wp:posOffset>
            </wp:positionV>
            <wp:extent cx="68580" cy="825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-1096645</wp:posOffset>
            </wp:positionV>
            <wp:extent cx="68580" cy="825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2" w:name="page13"/>
    <w:bookmarkEnd w:id="12"/>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DIGITAL ASSETS – ADDITIONAL INFORMATION</w:t>
      </w:r>
    </w:p>
    <w:p>
      <w:pPr>
        <w:spacing w:after="0" w:line="9"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ROLLFORWARD OF BITCOIN HOLDINGS</w:t>
      </w:r>
    </w:p>
    <w:p>
      <w:pPr>
        <w:spacing w:after="0" w:line="9"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t>(unaudited)</w:t>
      </w:r>
    </w:p>
    <w:p>
      <w:pPr>
        <w:sectPr>
          <w:pgSz w:w="11900" w:h="16838" w:orient="portrait"/>
          <w:cols w:equalWidth="0" w:num="1">
            <w:col w:w="11240"/>
          </w:cols>
          <w:pgMar w:left="320" w:top="981" w:right="339" w:bottom="144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0" w:lineRule="exact"/>
        <w:rPr>
          <w:sz w:val="20"/>
          <w:szCs w:val="20"/>
          <w:color w:val="auto"/>
        </w:rPr>
      </w:pPr>
    </w:p>
    <w:p>
      <w:pPr>
        <w:ind w:left="80" w:right="540" w:hanging="63"/>
        <w:spacing w:after="0" w:line="263" w:lineRule="auto"/>
        <w:rPr>
          <w:sz w:val="20"/>
          <w:szCs w:val="20"/>
          <w:color w:val="auto"/>
        </w:rPr>
      </w:pPr>
      <w:r>
        <w:rPr>
          <w:rFonts w:ascii="Times New Roman" w:cs="Times New Roman" w:eastAsia="Times New Roman" w:hAnsi="Times New Roman"/>
          <w:sz w:val="18"/>
          <w:szCs w:val="18"/>
          <w:b w:val="1"/>
          <w:bCs w:val="1"/>
          <w:color w:val="auto"/>
        </w:rPr>
        <w:t xml:space="preserve">Balance at December 31, 2022 </w:t>
      </w:r>
      <w:r>
        <w:rPr>
          <w:rFonts w:ascii="Times New Roman" w:cs="Times New Roman" w:eastAsia="Times New Roman" w:hAnsi="Times New Roman"/>
          <w:sz w:val="18"/>
          <w:szCs w:val="18"/>
          <w:color w:val="auto"/>
        </w:rPr>
        <w:t>Digital asset purchases</w:t>
      </w:r>
    </w:p>
    <w:p>
      <w:pPr>
        <w:spacing w:after="0" w:line="1" w:lineRule="exact"/>
        <w:rPr>
          <w:sz w:val="20"/>
          <w:szCs w:val="20"/>
          <w:color w:val="auto"/>
        </w:rPr>
      </w:pPr>
    </w:p>
    <w:p>
      <w:pPr>
        <w:ind w:left="20" w:right="540" w:firstLine="64"/>
        <w:spacing w:after="0" w:line="255" w:lineRule="auto"/>
        <w:rPr>
          <w:sz w:val="20"/>
          <w:szCs w:val="20"/>
          <w:color w:val="auto"/>
        </w:rPr>
      </w:pPr>
      <w:r>
        <w:rPr>
          <w:rFonts w:ascii="Times New Roman" w:cs="Times New Roman" w:eastAsia="Times New Roman" w:hAnsi="Times New Roman"/>
          <w:sz w:val="18"/>
          <w:szCs w:val="18"/>
          <w:color w:val="auto"/>
        </w:rPr>
        <w:t xml:space="preserve">Digital asset impairment losses </w:t>
      </w:r>
      <w:r>
        <w:rPr>
          <w:rFonts w:ascii="Times New Roman" w:cs="Times New Roman" w:eastAsia="Times New Roman" w:hAnsi="Times New Roman"/>
          <w:sz w:val="18"/>
          <w:szCs w:val="18"/>
          <w:b w:val="1"/>
          <w:bCs w:val="1"/>
          <w:color w:val="auto"/>
        </w:rPr>
        <w:t xml:space="preserve">Balance at March 31, 2023 </w:t>
      </w:r>
      <w:r>
        <w:rPr>
          <w:rFonts w:ascii="Times New Roman" w:cs="Times New Roman" w:eastAsia="Times New Roman" w:hAnsi="Times New Roman"/>
          <w:sz w:val="18"/>
          <w:szCs w:val="18"/>
          <w:color w:val="auto"/>
        </w:rPr>
        <w:t>Digital asset purchases</w:t>
      </w:r>
    </w:p>
    <w:p>
      <w:pPr>
        <w:spacing w:after="0" w:line="2" w:lineRule="exact"/>
        <w:rPr>
          <w:sz w:val="20"/>
          <w:szCs w:val="20"/>
          <w:color w:val="auto"/>
        </w:rPr>
      </w:pPr>
    </w:p>
    <w:p>
      <w:pPr>
        <w:ind w:left="20" w:right="540" w:firstLine="64"/>
        <w:spacing w:after="0" w:line="255" w:lineRule="auto"/>
        <w:rPr>
          <w:sz w:val="20"/>
          <w:szCs w:val="20"/>
          <w:color w:val="auto"/>
        </w:rPr>
      </w:pPr>
      <w:r>
        <w:rPr>
          <w:rFonts w:ascii="Times New Roman" w:cs="Times New Roman" w:eastAsia="Times New Roman" w:hAnsi="Times New Roman"/>
          <w:sz w:val="18"/>
          <w:szCs w:val="18"/>
          <w:color w:val="auto"/>
        </w:rPr>
        <w:t xml:space="preserve">Digital asset impairment losses </w:t>
      </w:r>
      <w:r>
        <w:rPr>
          <w:rFonts w:ascii="Times New Roman" w:cs="Times New Roman" w:eastAsia="Times New Roman" w:hAnsi="Times New Roman"/>
          <w:sz w:val="18"/>
          <w:szCs w:val="18"/>
          <w:b w:val="1"/>
          <w:bCs w:val="1"/>
          <w:color w:val="auto"/>
        </w:rPr>
        <w:t xml:space="preserve">Balance at June 30, 2023 </w:t>
      </w:r>
      <w:r>
        <w:rPr>
          <w:rFonts w:ascii="Times New Roman" w:cs="Times New Roman" w:eastAsia="Times New Roman" w:hAnsi="Times New Roman"/>
          <w:sz w:val="18"/>
          <w:szCs w:val="18"/>
          <w:color w:val="auto"/>
        </w:rPr>
        <w:t>Digital asset purchases</w:t>
      </w:r>
    </w:p>
    <w:p>
      <w:pPr>
        <w:spacing w:after="0" w:line="2" w:lineRule="exact"/>
        <w:rPr>
          <w:sz w:val="20"/>
          <w:szCs w:val="20"/>
          <w:color w:val="auto"/>
        </w:rPr>
      </w:pPr>
    </w:p>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p>
      <w:pPr>
        <w:spacing w:after="0" w:line="23" w:lineRule="exact"/>
        <w:rPr>
          <w:sz w:val="20"/>
          <w:szCs w:val="20"/>
          <w:color w:val="auto"/>
        </w:rPr>
      </w:pPr>
    </w:p>
    <w:p>
      <w:pPr>
        <w:ind w:left="20"/>
        <w:spacing w:after="0"/>
        <w:rPr>
          <w:sz w:val="20"/>
          <w:szCs w:val="20"/>
          <w:color w:val="auto"/>
        </w:rPr>
      </w:pPr>
      <w:r>
        <w:rPr>
          <w:rFonts w:ascii="Times New Roman" w:cs="Times New Roman" w:eastAsia="Times New Roman" w:hAnsi="Times New Roman"/>
          <w:sz w:val="18"/>
          <w:szCs w:val="18"/>
          <w:b w:val="1"/>
          <w:bCs w:val="1"/>
          <w:color w:val="auto"/>
        </w:rPr>
        <w:t>Balance at September 30, 2023</w:t>
      </w:r>
    </w:p>
    <w:p>
      <w:pPr>
        <w:spacing w:after="0" w:line="9" w:lineRule="exact"/>
        <w:rPr>
          <w:sz w:val="20"/>
          <w:szCs w:val="20"/>
          <w:color w:val="auto"/>
        </w:rPr>
      </w:pPr>
    </w:p>
    <w:p>
      <w:pPr>
        <w:ind w:left="80"/>
        <w:spacing w:after="0"/>
        <w:rPr>
          <w:sz w:val="20"/>
          <w:szCs w:val="20"/>
          <w:color w:val="auto"/>
        </w:rPr>
      </w:pPr>
      <w:r>
        <w:rPr>
          <w:rFonts w:ascii="Times New Roman" w:cs="Times New Roman" w:eastAsia="Times New Roman" w:hAnsi="Times New Roman"/>
          <w:sz w:val="18"/>
          <w:szCs w:val="18"/>
          <w:color w:val="auto"/>
        </w:rPr>
        <w:t>Digital asset purchases</w:t>
      </w:r>
    </w:p>
    <w:p>
      <w:pPr>
        <w:spacing w:after="0" w:line="9" w:lineRule="exact"/>
        <w:rPr>
          <w:sz w:val="20"/>
          <w:szCs w:val="20"/>
          <w:color w:val="auto"/>
        </w:rPr>
      </w:pPr>
    </w:p>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p>
      <w:pPr>
        <w:spacing w:after="0" w:line="9" w:lineRule="exact"/>
        <w:rPr>
          <w:sz w:val="20"/>
          <w:szCs w:val="20"/>
          <w:color w:val="auto"/>
        </w:rPr>
      </w:pPr>
    </w:p>
    <w:p>
      <w:pPr>
        <w:ind w:left="80" w:right="540" w:hanging="63"/>
        <w:spacing w:after="0" w:line="250" w:lineRule="auto"/>
        <w:rPr>
          <w:sz w:val="20"/>
          <w:szCs w:val="20"/>
          <w:color w:val="auto"/>
        </w:rPr>
      </w:pPr>
      <w:r>
        <w:rPr>
          <w:rFonts w:ascii="Times New Roman" w:cs="Times New Roman" w:eastAsia="Times New Roman" w:hAnsi="Times New Roman"/>
          <w:sz w:val="18"/>
          <w:szCs w:val="18"/>
          <w:b w:val="1"/>
          <w:bCs w:val="1"/>
          <w:color w:val="auto"/>
        </w:rPr>
        <w:t xml:space="preserve">Balance at December 31, 2023 </w:t>
      </w:r>
      <w:r>
        <w:rPr>
          <w:rFonts w:ascii="Times New Roman" w:cs="Times New Roman" w:eastAsia="Times New Roman" w:hAnsi="Times New Roman"/>
          <w:sz w:val="18"/>
          <w:szCs w:val="18"/>
          <w:color w:val="auto"/>
        </w:rPr>
        <w:t>Digital asset purchases</w:t>
      </w:r>
    </w:p>
    <w:p>
      <w:pPr>
        <w:spacing w:after="0" w:line="1" w:lineRule="exact"/>
        <w:rPr>
          <w:sz w:val="20"/>
          <w:szCs w:val="20"/>
          <w:color w:val="auto"/>
        </w:rPr>
      </w:pPr>
    </w:p>
    <w:p>
      <w:pPr>
        <w:ind w:left="20" w:right="540" w:firstLine="64"/>
        <w:spacing w:after="0" w:line="255" w:lineRule="auto"/>
        <w:rPr>
          <w:sz w:val="20"/>
          <w:szCs w:val="20"/>
          <w:color w:val="auto"/>
        </w:rPr>
      </w:pPr>
      <w:r>
        <w:rPr>
          <w:rFonts w:ascii="Times New Roman" w:cs="Times New Roman" w:eastAsia="Times New Roman" w:hAnsi="Times New Roman"/>
          <w:sz w:val="18"/>
          <w:szCs w:val="18"/>
          <w:color w:val="auto"/>
        </w:rPr>
        <w:t xml:space="preserve">Digital asset impairment losses </w:t>
      </w:r>
      <w:r>
        <w:rPr>
          <w:rFonts w:ascii="Times New Roman" w:cs="Times New Roman" w:eastAsia="Times New Roman" w:hAnsi="Times New Roman"/>
          <w:sz w:val="18"/>
          <w:szCs w:val="18"/>
          <w:b w:val="1"/>
          <w:bCs w:val="1"/>
          <w:color w:val="auto"/>
        </w:rPr>
        <w:t xml:space="preserve">Balance at March 31, 2024 </w:t>
      </w:r>
      <w:r>
        <w:rPr>
          <w:rFonts w:ascii="Times New Roman" w:cs="Times New Roman" w:eastAsia="Times New Roman" w:hAnsi="Times New Roman"/>
          <w:sz w:val="18"/>
          <w:szCs w:val="18"/>
          <w:color w:val="auto"/>
        </w:rPr>
        <w:t>Digital asset purchases</w:t>
      </w:r>
    </w:p>
    <w:p>
      <w:pPr>
        <w:spacing w:after="0" w:line="2" w:lineRule="exact"/>
        <w:rPr>
          <w:sz w:val="20"/>
          <w:szCs w:val="20"/>
          <w:color w:val="auto"/>
        </w:rPr>
      </w:pPr>
    </w:p>
    <w:p>
      <w:pPr>
        <w:ind w:left="20" w:right="540" w:firstLine="64"/>
        <w:spacing w:after="0" w:line="255" w:lineRule="auto"/>
        <w:rPr>
          <w:sz w:val="20"/>
          <w:szCs w:val="20"/>
          <w:color w:val="auto"/>
        </w:rPr>
      </w:pPr>
      <w:r>
        <w:rPr>
          <w:rFonts w:ascii="Times New Roman" w:cs="Times New Roman" w:eastAsia="Times New Roman" w:hAnsi="Times New Roman"/>
          <w:sz w:val="18"/>
          <w:szCs w:val="18"/>
          <w:color w:val="auto"/>
        </w:rPr>
        <w:t xml:space="preserve">Digital asset impairment losses </w:t>
      </w:r>
      <w:r>
        <w:rPr>
          <w:rFonts w:ascii="Times New Roman" w:cs="Times New Roman" w:eastAsia="Times New Roman" w:hAnsi="Times New Roman"/>
          <w:sz w:val="18"/>
          <w:szCs w:val="18"/>
          <w:b w:val="1"/>
          <w:bCs w:val="1"/>
          <w:color w:val="auto"/>
        </w:rPr>
        <w:t xml:space="preserve">Balance at June 30, 2024 </w:t>
      </w:r>
      <w:r>
        <w:rPr>
          <w:rFonts w:ascii="Times New Roman" w:cs="Times New Roman" w:eastAsia="Times New Roman" w:hAnsi="Times New Roman"/>
          <w:sz w:val="18"/>
          <w:szCs w:val="18"/>
          <w:color w:val="auto"/>
        </w:rPr>
        <w:t>Digital asset purchases</w:t>
      </w:r>
    </w:p>
    <w:p>
      <w:pPr>
        <w:spacing w:after="0" w:line="2" w:lineRule="exact"/>
        <w:rPr>
          <w:sz w:val="20"/>
          <w:szCs w:val="20"/>
          <w:color w:val="auto"/>
        </w:rPr>
      </w:pPr>
    </w:p>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p>
      <w:pPr>
        <w:spacing w:after="0" w:line="23" w:lineRule="exact"/>
        <w:rPr>
          <w:sz w:val="20"/>
          <w:szCs w:val="20"/>
          <w:color w:val="auto"/>
        </w:rPr>
      </w:pPr>
    </w:p>
    <w:p>
      <w:pPr>
        <w:ind w:left="20"/>
        <w:spacing w:after="0"/>
        <w:rPr>
          <w:sz w:val="20"/>
          <w:szCs w:val="20"/>
          <w:color w:val="auto"/>
        </w:rPr>
      </w:pPr>
      <w:r>
        <w:rPr>
          <w:rFonts w:ascii="Times New Roman" w:cs="Times New Roman" w:eastAsia="Times New Roman" w:hAnsi="Times New Roman"/>
          <w:sz w:val="18"/>
          <w:szCs w:val="18"/>
          <w:b w:val="1"/>
          <w:bCs w:val="1"/>
          <w:color w:val="auto"/>
        </w:rPr>
        <w:t>Balance at September 30, 2024</w:t>
      </w:r>
    </w:p>
    <w:p>
      <w:pPr>
        <w:spacing w:after="0" w:line="9" w:lineRule="exact"/>
        <w:rPr>
          <w:sz w:val="20"/>
          <w:szCs w:val="20"/>
          <w:color w:val="auto"/>
        </w:rPr>
      </w:pPr>
    </w:p>
    <w:p>
      <w:pPr>
        <w:ind w:left="80"/>
        <w:spacing w:after="0"/>
        <w:rPr>
          <w:sz w:val="20"/>
          <w:szCs w:val="20"/>
          <w:color w:val="auto"/>
        </w:rPr>
      </w:pPr>
      <w:r>
        <w:rPr>
          <w:rFonts w:ascii="Times New Roman" w:cs="Times New Roman" w:eastAsia="Times New Roman" w:hAnsi="Times New Roman"/>
          <w:sz w:val="18"/>
          <w:szCs w:val="18"/>
          <w:color w:val="auto"/>
        </w:rPr>
        <w:t>Digital asset purchases</w:t>
      </w:r>
    </w:p>
    <w:p>
      <w:pPr>
        <w:spacing w:after="0" w:line="9" w:lineRule="exact"/>
        <w:rPr>
          <w:sz w:val="20"/>
          <w:szCs w:val="20"/>
          <w:color w:val="auto"/>
        </w:rPr>
      </w:pPr>
    </w:p>
    <w:p>
      <w:pPr>
        <w:ind w:left="80"/>
        <w:spacing w:after="0"/>
        <w:rPr>
          <w:sz w:val="20"/>
          <w:szCs w:val="20"/>
          <w:color w:val="auto"/>
        </w:rPr>
      </w:pPr>
      <w:r>
        <w:rPr>
          <w:rFonts w:ascii="Times New Roman" w:cs="Times New Roman" w:eastAsia="Times New Roman" w:hAnsi="Times New Roman"/>
          <w:sz w:val="18"/>
          <w:szCs w:val="18"/>
          <w:color w:val="auto"/>
        </w:rPr>
        <w:t>Digital asset impairment losses</w:t>
      </w:r>
    </w:p>
    <w:p>
      <w:pPr>
        <w:spacing w:after="0" w:line="23" w:lineRule="exact"/>
        <w:rPr>
          <w:sz w:val="20"/>
          <w:szCs w:val="20"/>
          <w:color w:val="auto"/>
        </w:rPr>
      </w:pPr>
    </w:p>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2024</w:t>
      </w:r>
    </w:p>
    <w:p>
      <w:pPr>
        <w:spacing w:after="0" w:line="20" w:lineRule="exact"/>
        <w:rPr>
          <w:sz w:val="20"/>
          <w:szCs w:val="20"/>
          <w:color w:val="auto"/>
        </w:rPr>
      </w:pPr>
      <w:r>
        <w:rPr>
          <w:sz w:val="20"/>
          <w:szCs w:val="20"/>
          <w:color w:val="auto"/>
        </w:rPr>
        <w:br w:type="column"/>
      </w:r>
    </w:p>
    <w:p>
      <w:pPr>
        <w:spacing w:after="0" w:line="168" w:lineRule="exact"/>
        <w:rPr>
          <w:sz w:val="20"/>
          <w:szCs w:val="20"/>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61"/>
        </w:trPr>
        <w:tc>
          <w:tcPr>
            <w:tcW w:w="11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Source of Capital</w:t>
            </w:r>
          </w:p>
        </w:tc>
        <w:tc>
          <w:tcPr>
            <w:tcW w:w="1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60" w:type="dxa"/>
            <w:vAlign w:val="bottom"/>
          </w:tcPr>
          <w:p>
            <w:pPr>
              <w:jc w:val="center"/>
              <w:ind w:right="52"/>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1180" w:type="dxa"/>
            <w:vAlign w:val="bottom"/>
            <w:gridSpan w:val="2"/>
          </w:tcPr>
          <w:p>
            <w:pPr>
              <w:jc w:val="center"/>
              <w:ind w:right="281"/>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20" w:type="dxa"/>
            <w:vAlign w:val="bottom"/>
          </w:tcPr>
          <w:p>
            <w:pPr>
              <w:spacing w:after="0"/>
              <w:rPr>
                <w:sz w:val="13"/>
                <w:szCs w:val="13"/>
                <w:color w:val="auto"/>
              </w:rPr>
            </w:pPr>
          </w:p>
        </w:tc>
        <w:tc>
          <w:tcPr>
            <w:tcW w:w="1140" w:type="dxa"/>
            <w:vAlign w:val="bottom"/>
            <w:gridSpan w:val="2"/>
            <w:vMerge w:val="restart"/>
          </w:tcPr>
          <w:p>
            <w:pPr>
              <w:jc w:val="center"/>
              <w:ind w:right="360"/>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12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2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80" w:type="dxa"/>
            <w:vAlign w:val="bottom"/>
          </w:tcPr>
          <w:p>
            <w:pPr>
              <w:jc w:val="center"/>
              <w:ind w:right="73"/>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0" w:type="dxa"/>
            <w:vAlign w:val="bottom"/>
          </w:tcPr>
          <w:p>
            <w:pPr>
              <w:spacing w:after="0"/>
              <w:rPr>
                <w:sz w:val="1"/>
                <w:szCs w:val="1"/>
                <w:color w:val="auto"/>
              </w:rPr>
            </w:pPr>
          </w:p>
        </w:tc>
      </w:tr>
      <w:tr>
        <w:trPr>
          <w:trHeight w:val="148"/>
        </w:trPr>
        <w:tc>
          <w:tcPr>
            <w:tcW w:w="1180" w:type="dxa"/>
            <w:vAlign w:val="bottom"/>
            <w:vMerge w:val="continue"/>
          </w:tcPr>
          <w:p>
            <w:pPr>
              <w:spacing w:after="0"/>
              <w:rPr>
                <w:sz w:val="12"/>
                <w:szCs w:val="12"/>
                <w:color w:val="auto"/>
              </w:rPr>
            </w:pPr>
          </w:p>
        </w:tc>
        <w:tc>
          <w:tcPr>
            <w:tcW w:w="100" w:type="dxa"/>
            <w:vAlign w:val="bottom"/>
          </w:tcPr>
          <w:p>
            <w:pPr>
              <w:spacing w:after="0"/>
              <w:rPr>
                <w:sz w:val="12"/>
                <w:szCs w:val="12"/>
                <w:color w:val="auto"/>
              </w:rPr>
            </w:pPr>
          </w:p>
        </w:tc>
        <w:tc>
          <w:tcPr>
            <w:tcW w:w="108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Original Cost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180" w:type="dxa"/>
            <w:vAlign w:val="bottom"/>
            <w:gridSpan w:val="2"/>
          </w:tcPr>
          <w:p>
            <w:pPr>
              <w:jc w:val="center"/>
              <w:ind w:right="281"/>
              <w:spacing w:after="0" w:line="149" w:lineRule="exact"/>
              <w:rPr>
                <w:sz w:val="20"/>
                <w:szCs w:val="20"/>
                <w:color w:val="auto"/>
              </w:rPr>
            </w:pPr>
            <w:r>
              <w:rPr>
                <w:rFonts w:ascii="Times New Roman" w:cs="Times New Roman" w:eastAsia="Times New Roman" w:hAnsi="Times New Roman"/>
                <w:sz w:val="14"/>
                <w:szCs w:val="14"/>
                <w:b w:val="1"/>
                <w:bCs w:val="1"/>
                <w:color w:val="auto"/>
              </w:rPr>
              <w:t>Impairment</w:t>
            </w:r>
          </w:p>
        </w:tc>
        <w:tc>
          <w:tcPr>
            <w:tcW w:w="120" w:type="dxa"/>
            <w:vAlign w:val="bottom"/>
          </w:tcPr>
          <w:p>
            <w:pPr>
              <w:spacing w:after="0"/>
              <w:rPr>
                <w:sz w:val="12"/>
                <w:szCs w:val="12"/>
                <w:color w:val="auto"/>
              </w:rPr>
            </w:pPr>
          </w:p>
        </w:tc>
        <w:tc>
          <w:tcPr>
            <w:tcW w:w="1140" w:type="dxa"/>
            <w:vAlign w:val="bottom"/>
            <w:gridSpan w:val="2"/>
            <w:vMerge w:val="continue"/>
          </w:tcPr>
          <w:p>
            <w:pPr>
              <w:spacing w:after="0"/>
              <w:rPr>
                <w:sz w:val="12"/>
                <w:szCs w:val="12"/>
                <w:color w:val="auto"/>
              </w:rPr>
            </w:pPr>
          </w:p>
        </w:tc>
        <w:tc>
          <w:tcPr>
            <w:tcW w:w="112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980" w:type="dxa"/>
            <w:vAlign w:val="bottom"/>
          </w:tcPr>
          <w:p>
            <w:pPr>
              <w:jc w:val="center"/>
              <w:ind w:right="73"/>
              <w:spacing w:after="0" w:line="149" w:lineRule="exact"/>
              <w:rPr>
                <w:sz w:val="20"/>
                <w:szCs w:val="20"/>
                <w:color w:val="auto"/>
              </w:rPr>
            </w:pPr>
            <w:r>
              <w:rPr>
                <w:rFonts w:ascii="Times New Roman" w:cs="Times New Roman" w:eastAsia="Times New Roman" w:hAnsi="Times New Roman"/>
                <w:sz w:val="14"/>
                <w:szCs w:val="14"/>
                <w:b w:val="1"/>
                <w:bCs w:val="1"/>
                <w:color w:val="auto"/>
              </w:rPr>
              <w:t>Average</w:t>
            </w:r>
          </w:p>
        </w:tc>
        <w:tc>
          <w:tcPr>
            <w:tcW w:w="0" w:type="dxa"/>
            <w:vAlign w:val="bottom"/>
          </w:tcPr>
          <w:p>
            <w:pPr>
              <w:spacing w:after="0"/>
              <w:rPr>
                <w:sz w:val="1"/>
                <w:szCs w:val="1"/>
                <w:color w:val="auto"/>
              </w:rPr>
            </w:pPr>
          </w:p>
        </w:tc>
      </w:tr>
      <w:tr>
        <w:trPr>
          <w:trHeight w:val="148"/>
        </w:trPr>
        <w:tc>
          <w:tcPr>
            <w:tcW w:w="11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Used to Purchase</w:t>
            </w:r>
          </w:p>
        </w:tc>
        <w:tc>
          <w:tcPr>
            <w:tcW w:w="1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960" w:type="dxa"/>
            <w:vAlign w:val="bottom"/>
          </w:tcPr>
          <w:p>
            <w:pPr>
              <w:jc w:val="center"/>
              <w:ind w:right="32"/>
              <w:spacing w:after="0" w:line="149" w:lineRule="exact"/>
              <w:rPr>
                <w:sz w:val="20"/>
                <w:szCs w:val="20"/>
                <w:color w:val="auto"/>
              </w:rPr>
            </w:pPr>
            <w:r>
              <w:rPr>
                <w:rFonts w:ascii="Times New Roman" w:cs="Times New Roman" w:eastAsia="Times New Roman" w:hAnsi="Times New Roman"/>
                <w:sz w:val="14"/>
                <w:szCs w:val="14"/>
                <w:b w:val="1"/>
                <w:bCs w:val="1"/>
                <w:color w:val="auto"/>
              </w:rPr>
              <w:t>Basis</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180" w:type="dxa"/>
            <w:vAlign w:val="bottom"/>
            <w:gridSpan w:val="2"/>
          </w:tcPr>
          <w:p>
            <w:pPr>
              <w:jc w:val="center"/>
              <w:ind w:right="241"/>
              <w:spacing w:after="0" w:line="149" w:lineRule="exact"/>
              <w:rPr>
                <w:sz w:val="20"/>
                <w:szCs w:val="20"/>
                <w:color w:val="auto"/>
              </w:rPr>
            </w:pPr>
            <w:r>
              <w:rPr>
                <w:rFonts w:ascii="Times New Roman" w:cs="Times New Roman" w:eastAsia="Times New Roman" w:hAnsi="Times New Roman"/>
                <w:sz w:val="14"/>
                <w:szCs w:val="14"/>
                <w:b w:val="1"/>
                <w:bCs w:val="1"/>
                <w:color w:val="auto"/>
                <w:w w:val="97"/>
              </w:rPr>
              <w:t>Losses</w:t>
            </w:r>
          </w:p>
        </w:tc>
        <w:tc>
          <w:tcPr>
            <w:tcW w:w="1260" w:type="dxa"/>
            <w:vAlign w:val="bottom"/>
            <w:gridSpan w:val="3"/>
          </w:tcPr>
          <w:p>
            <w:pPr>
              <w:jc w:val="center"/>
              <w:ind w:right="220"/>
              <w:spacing w:after="0" w:line="149" w:lineRule="exact"/>
              <w:rPr>
                <w:sz w:val="20"/>
                <w:szCs w:val="20"/>
                <w:color w:val="auto"/>
              </w:rPr>
            </w:pPr>
            <w:r>
              <w:rPr>
                <w:rFonts w:ascii="Times New Roman" w:cs="Times New Roman" w:eastAsia="Times New Roman" w:hAnsi="Times New Roman"/>
                <w:sz w:val="14"/>
                <w:szCs w:val="14"/>
                <w:b w:val="1"/>
                <w:bCs w:val="1"/>
                <w:color w:val="auto"/>
              </w:rPr>
              <w:t>Carrying Value</w:t>
            </w:r>
          </w:p>
        </w:tc>
        <w:tc>
          <w:tcPr>
            <w:tcW w:w="11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20" w:type="dxa"/>
            <w:vAlign w:val="bottom"/>
          </w:tcPr>
          <w:p>
            <w:pPr>
              <w:spacing w:after="0"/>
              <w:rPr>
                <w:sz w:val="12"/>
                <w:szCs w:val="12"/>
                <w:color w:val="auto"/>
              </w:rPr>
            </w:pPr>
          </w:p>
        </w:tc>
        <w:tc>
          <w:tcPr>
            <w:tcW w:w="110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Purchase Price</w:t>
            </w:r>
          </w:p>
        </w:tc>
        <w:tc>
          <w:tcPr>
            <w:tcW w:w="0" w:type="dxa"/>
            <w:vAlign w:val="bottom"/>
          </w:tcPr>
          <w:p>
            <w:pPr>
              <w:spacing w:after="0"/>
              <w:rPr>
                <w:sz w:val="1"/>
                <w:szCs w:val="1"/>
                <w:color w:val="auto"/>
              </w:rPr>
            </w:pPr>
          </w:p>
        </w:tc>
      </w:tr>
      <w:tr>
        <w:trPr>
          <w:trHeight w:val="173"/>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w:t>
            </w:r>
          </w:p>
        </w:tc>
        <w:tc>
          <w:tcPr>
            <w:tcW w:w="100" w:type="dxa"/>
            <w:vAlign w:val="bottom"/>
          </w:tcPr>
          <w:p>
            <w:pPr>
              <w:spacing w:after="0"/>
              <w:rPr>
                <w:sz w:val="15"/>
                <w:szCs w:val="15"/>
                <w:color w:val="auto"/>
              </w:rPr>
            </w:pPr>
          </w:p>
        </w:tc>
        <w:tc>
          <w:tcPr>
            <w:tcW w:w="1080" w:type="dxa"/>
            <w:vAlign w:val="bottom"/>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180" w:type="dxa"/>
            <w:vAlign w:val="bottom"/>
            <w:gridSpan w:val="2"/>
          </w:tcPr>
          <w:p>
            <w:pPr>
              <w:jc w:val="right"/>
              <w:ind w:right="241"/>
              <w:spacing w:after="0"/>
              <w:rPr>
                <w:sz w:val="20"/>
                <w:szCs w:val="20"/>
                <w:color w:val="auto"/>
              </w:rPr>
            </w:pPr>
            <w:r>
              <w:rPr>
                <w:rFonts w:ascii="Times New Roman" w:cs="Times New Roman" w:eastAsia="Times New Roman" w:hAnsi="Times New Roman"/>
                <w:sz w:val="14"/>
                <w:szCs w:val="14"/>
                <w:b w:val="1"/>
                <w:bCs w:val="1"/>
                <w:color w:val="auto"/>
                <w:w w:val="98"/>
              </w:rPr>
              <w:t>(in thousands)</w:t>
            </w:r>
          </w:p>
        </w:tc>
        <w:tc>
          <w:tcPr>
            <w:tcW w:w="1260" w:type="dxa"/>
            <w:vAlign w:val="bottom"/>
            <w:gridSpan w:val="3"/>
          </w:tcPr>
          <w:p>
            <w:pPr>
              <w:jc w:val="center"/>
              <w:ind w:right="220"/>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112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Bitcoins Held *</w:t>
            </w:r>
          </w:p>
        </w:tc>
        <w:tc>
          <w:tcPr>
            <w:tcW w:w="22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980" w:type="dxa"/>
            <w:vAlign w:val="bottom"/>
          </w:tcPr>
          <w:p>
            <w:pPr>
              <w:jc w:val="center"/>
              <w:ind w:right="33"/>
              <w:spacing w:after="0"/>
              <w:rPr>
                <w:sz w:val="20"/>
                <w:szCs w:val="20"/>
                <w:color w:val="auto"/>
              </w:rPr>
            </w:pPr>
            <w:r>
              <w:rPr>
                <w:rFonts w:ascii="Times New Roman" w:cs="Times New Roman" w:eastAsia="Times New Roman" w:hAnsi="Times New Roman"/>
                <w:sz w:val="14"/>
                <w:szCs w:val="14"/>
                <w:b w:val="1"/>
                <w:bCs w:val="1"/>
                <w:color w:val="auto"/>
              </w:rPr>
              <w:t>Per Bitcoin</w:t>
            </w:r>
          </w:p>
        </w:tc>
        <w:tc>
          <w:tcPr>
            <w:tcW w:w="0" w:type="dxa"/>
            <w:vAlign w:val="bottom"/>
          </w:tcPr>
          <w:p>
            <w:pPr>
              <w:spacing w:after="0"/>
              <w:rPr>
                <w:sz w:val="1"/>
                <w:szCs w:val="1"/>
                <w:color w:val="auto"/>
              </w:rPr>
            </w:pPr>
          </w:p>
        </w:tc>
      </w:tr>
      <w:tr>
        <w:trPr>
          <w:trHeight w:val="191"/>
        </w:trPr>
        <w:tc>
          <w:tcPr>
            <w:tcW w:w="1180" w:type="dxa"/>
            <w:vAlign w:val="bottom"/>
            <w:tcBorders>
              <w:top w:val="single" w:sz="8" w:color="auto"/>
            </w:tcBorders>
          </w:tcPr>
          <w:p>
            <w:pPr>
              <w:spacing w:after="0"/>
              <w:rPr>
                <w:sz w:val="16"/>
                <w:szCs w:val="16"/>
                <w:color w:val="auto"/>
              </w:rPr>
            </w:pPr>
          </w:p>
        </w:tc>
        <w:tc>
          <w:tcPr>
            <w:tcW w:w="10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3,993,190</w:t>
            </w:r>
          </w:p>
        </w:tc>
        <w:tc>
          <w:tcPr>
            <w:tcW w:w="220" w:type="dxa"/>
            <w:vAlign w:val="bottom"/>
          </w:tcPr>
          <w:p>
            <w:pPr>
              <w:spacing w:after="0"/>
              <w:rPr>
                <w:sz w:val="16"/>
                <w:szCs w:val="16"/>
                <w:color w:val="auto"/>
              </w:rPr>
            </w:pPr>
          </w:p>
        </w:tc>
        <w:tc>
          <w:tcPr>
            <w:tcW w:w="10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(2,153,162</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1,840,028</w:t>
            </w:r>
          </w:p>
        </w:tc>
        <w:tc>
          <w:tcPr>
            <w:tcW w:w="220" w:type="dxa"/>
            <w:vAlign w:val="bottom"/>
          </w:tcPr>
          <w:p>
            <w:pPr>
              <w:spacing w:after="0"/>
              <w:rPr>
                <w:sz w:val="16"/>
                <w:szCs w:val="16"/>
                <w:color w:val="auto"/>
              </w:rPr>
            </w:pPr>
          </w:p>
        </w:tc>
        <w:tc>
          <w:tcPr>
            <w:tcW w:w="1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132,500</w:t>
            </w:r>
          </w:p>
        </w:tc>
        <w:tc>
          <w:tcPr>
            <w:tcW w:w="22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30,137</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(a)</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179,275</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179,275</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7,500</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23,903</w:t>
            </w:r>
          </w:p>
        </w:tc>
        <w:tc>
          <w:tcPr>
            <w:tcW w:w="0" w:type="dxa"/>
            <w:vAlign w:val="bottom"/>
          </w:tcPr>
          <w:p>
            <w:pPr>
              <w:spacing w:after="0"/>
              <w:rPr>
                <w:sz w:val="1"/>
                <w:szCs w:val="1"/>
                <w:color w:val="auto"/>
              </w:rPr>
            </w:pPr>
          </w:p>
        </w:tc>
      </w:tr>
      <w:tr>
        <w:trPr>
          <w:trHeight w:val="234"/>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(18,911 )</w:t>
            </w:r>
          </w:p>
        </w:tc>
        <w:tc>
          <w:tcPr>
            <w:tcW w:w="120" w:type="dxa"/>
            <w:vAlign w:val="bottom"/>
          </w:tcPr>
          <w:p>
            <w:pPr>
              <w:spacing w:after="0"/>
              <w:rPr>
                <w:sz w:val="20"/>
                <w:szCs w:val="20"/>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(18,911 )</w:t>
            </w:r>
          </w:p>
        </w:tc>
        <w:tc>
          <w:tcPr>
            <w:tcW w:w="11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1"/>
        </w:trPr>
        <w:tc>
          <w:tcPr>
            <w:tcW w:w="1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4,172,465</w:t>
            </w:r>
          </w:p>
        </w:tc>
        <w:tc>
          <w:tcPr>
            <w:tcW w:w="220" w:type="dxa"/>
            <w:vAlign w:val="bottom"/>
          </w:tcPr>
          <w:p>
            <w:pPr>
              <w:spacing w:after="0"/>
              <w:rPr>
                <w:sz w:val="16"/>
                <w:szCs w:val="16"/>
                <w:color w:val="auto"/>
              </w:rPr>
            </w:pPr>
          </w:p>
        </w:tc>
        <w:tc>
          <w:tcPr>
            <w:tcW w:w="10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(2,172,073</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2,000,392</w:t>
            </w:r>
          </w:p>
        </w:tc>
        <w:tc>
          <w:tcPr>
            <w:tcW w:w="220" w:type="dxa"/>
            <w:vAlign w:val="bottom"/>
          </w:tcPr>
          <w:p>
            <w:pPr>
              <w:spacing w:after="0"/>
              <w:rPr>
                <w:sz w:val="16"/>
                <w:szCs w:val="16"/>
                <w:color w:val="auto"/>
              </w:rPr>
            </w:pPr>
          </w:p>
        </w:tc>
        <w:tc>
          <w:tcPr>
            <w:tcW w:w="1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140,000</w:t>
            </w:r>
          </w:p>
        </w:tc>
        <w:tc>
          <w:tcPr>
            <w:tcW w:w="22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29,803</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(b)</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347,003</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347,003</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12,333</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28,136</w:t>
            </w:r>
          </w:p>
        </w:tc>
        <w:tc>
          <w:tcPr>
            <w:tcW w:w="0" w:type="dxa"/>
            <w:vAlign w:val="bottom"/>
          </w:tcPr>
          <w:p>
            <w:pPr>
              <w:spacing w:after="0"/>
              <w:rPr>
                <w:sz w:val="1"/>
                <w:szCs w:val="1"/>
                <w:color w:val="auto"/>
              </w:rPr>
            </w:pPr>
          </w:p>
        </w:tc>
      </w:tr>
      <w:tr>
        <w:trPr>
          <w:trHeight w:val="234"/>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(24,143 )</w:t>
            </w:r>
          </w:p>
        </w:tc>
        <w:tc>
          <w:tcPr>
            <w:tcW w:w="120" w:type="dxa"/>
            <w:vAlign w:val="bottom"/>
          </w:tcPr>
          <w:p>
            <w:pPr>
              <w:spacing w:after="0"/>
              <w:rPr>
                <w:sz w:val="20"/>
                <w:szCs w:val="20"/>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(24,143 )</w:t>
            </w:r>
          </w:p>
        </w:tc>
        <w:tc>
          <w:tcPr>
            <w:tcW w:w="11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1"/>
        </w:trPr>
        <w:tc>
          <w:tcPr>
            <w:tcW w:w="1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4,519,468</w:t>
            </w:r>
          </w:p>
        </w:tc>
        <w:tc>
          <w:tcPr>
            <w:tcW w:w="220" w:type="dxa"/>
            <w:vAlign w:val="bottom"/>
          </w:tcPr>
          <w:p>
            <w:pPr>
              <w:spacing w:after="0"/>
              <w:rPr>
                <w:sz w:val="16"/>
                <w:szCs w:val="16"/>
                <w:color w:val="auto"/>
              </w:rPr>
            </w:pPr>
          </w:p>
        </w:tc>
        <w:tc>
          <w:tcPr>
            <w:tcW w:w="10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(2,196,216</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2,323,252</w:t>
            </w:r>
          </w:p>
        </w:tc>
        <w:tc>
          <w:tcPr>
            <w:tcW w:w="220" w:type="dxa"/>
            <w:vAlign w:val="bottom"/>
          </w:tcPr>
          <w:p>
            <w:pPr>
              <w:spacing w:after="0"/>
              <w:rPr>
                <w:sz w:val="16"/>
                <w:szCs w:val="16"/>
                <w:color w:val="auto"/>
              </w:rPr>
            </w:pPr>
          </w:p>
        </w:tc>
        <w:tc>
          <w:tcPr>
            <w:tcW w:w="1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152,333</w:t>
            </w:r>
          </w:p>
        </w:tc>
        <w:tc>
          <w:tcPr>
            <w:tcW w:w="22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29,668</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(c)</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161,681</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161,681</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5,912</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27,348</w:t>
            </w:r>
          </w:p>
        </w:tc>
        <w:tc>
          <w:tcPr>
            <w:tcW w:w="0" w:type="dxa"/>
            <w:vAlign w:val="bottom"/>
          </w:tcPr>
          <w:p>
            <w:pPr>
              <w:spacing w:after="0"/>
              <w:rPr>
                <w:sz w:val="1"/>
                <w:szCs w:val="1"/>
                <w:color w:val="auto"/>
              </w:rPr>
            </w:pPr>
          </w:p>
        </w:tc>
      </w:tr>
      <w:tr>
        <w:trPr>
          <w:trHeight w:val="234"/>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(33,559 )</w:t>
            </w:r>
          </w:p>
        </w:tc>
        <w:tc>
          <w:tcPr>
            <w:tcW w:w="120" w:type="dxa"/>
            <w:vAlign w:val="bottom"/>
          </w:tcPr>
          <w:p>
            <w:pPr>
              <w:spacing w:after="0"/>
              <w:rPr>
                <w:sz w:val="20"/>
                <w:szCs w:val="20"/>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(33,559 )</w:t>
            </w:r>
          </w:p>
        </w:tc>
        <w:tc>
          <w:tcPr>
            <w:tcW w:w="11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1"/>
        </w:trPr>
        <w:tc>
          <w:tcPr>
            <w:tcW w:w="1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4,681,149</w:t>
            </w:r>
          </w:p>
        </w:tc>
        <w:tc>
          <w:tcPr>
            <w:tcW w:w="220" w:type="dxa"/>
            <w:vAlign w:val="bottom"/>
          </w:tcPr>
          <w:p>
            <w:pPr>
              <w:spacing w:after="0"/>
              <w:rPr>
                <w:sz w:val="16"/>
                <w:szCs w:val="16"/>
                <w:color w:val="auto"/>
              </w:rPr>
            </w:pPr>
          </w:p>
        </w:tc>
        <w:tc>
          <w:tcPr>
            <w:tcW w:w="10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(2,229,775</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2,451,374</w:t>
            </w:r>
          </w:p>
        </w:tc>
        <w:tc>
          <w:tcPr>
            <w:tcW w:w="220" w:type="dxa"/>
            <w:vAlign w:val="bottom"/>
          </w:tcPr>
          <w:p>
            <w:pPr>
              <w:spacing w:after="0"/>
              <w:rPr>
                <w:sz w:val="16"/>
                <w:szCs w:val="16"/>
                <w:color w:val="auto"/>
              </w:rPr>
            </w:pPr>
          </w:p>
        </w:tc>
        <w:tc>
          <w:tcPr>
            <w:tcW w:w="1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158,245</w:t>
            </w:r>
          </w:p>
        </w:tc>
        <w:tc>
          <w:tcPr>
            <w:tcW w:w="22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29,582</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(d)</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1,214,340</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1,214,340</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30,905</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39,293</w:t>
            </w:r>
          </w:p>
        </w:tc>
        <w:tc>
          <w:tcPr>
            <w:tcW w:w="0" w:type="dxa"/>
            <w:vAlign w:val="bottom"/>
          </w:tcPr>
          <w:p>
            <w:pPr>
              <w:spacing w:after="0"/>
              <w:rPr>
                <w:sz w:val="1"/>
                <w:szCs w:val="1"/>
                <w:color w:val="auto"/>
              </w:rPr>
            </w:pPr>
          </w:p>
        </w:tc>
      </w:tr>
      <w:tr>
        <w:trPr>
          <w:trHeight w:val="212"/>
        </w:trPr>
        <w:tc>
          <w:tcPr>
            <w:tcW w:w="11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(39,238 )</w:t>
            </w:r>
          </w:p>
        </w:tc>
        <w:tc>
          <w:tcPr>
            <w:tcW w:w="120" w:type="dxa"/>
            <w:vAlign w:val="bottom"/>
          </w:tcPr>
          <w:p>
            <w:pPr>
              <w:spacing w:after="0"/>
              <w:rPr>
                <w:sz w:val="18"/>
                <w:szCs w:val="18"/>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(39,238 )</w:t>
            </w:r>
          </w:p>
        </w:tc>
        <w:tc>
          <w:tcPr>
            <w:tcW w:w="112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20"/>
        </w:trPr>
        <w:tc>
          <w:tcPr>
            <w:tcW w:w="1180" w:type="dxa"/>
            <w:vAlign w:val="bottom"/>
          </w:tcPr>
          <w:p>
            <w:pPr>
              <w:spacing w:after="0"/>
              <w:rPr>
                <w:sz w:val="19"/>
                <w:szCs w:val="19"/>
                <w:color w:val="auto"/>
              </w:rPr>
            </w:pPr>
          </w:p>
        </w:tc>
        <w:tc>
          <w:tcPr>
            <w:tcW w:w="22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5,895,489</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b w:val="1"/>
                <w:bCs w:val="1"/>
                <w:color w:val="auto"/>
              </w:rPr>
              <w:t>(2,269,013 )</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3,626,476</w:t>
            </w:r>
          </w:p>
        </w:tc>
        <w:tc>
          <w:tcPr>
            <w:tcW w:w="220" w:type="dxa"/>
            <w:vAlign w:val="bottom"/>
          </w:tcPr>
          <w:p>
            <w:pPr>
              <w:spacing w:after="0"/>
              <w:rPr>
                <w:sz w:val="19"/>
                <w:szCs w:val="19"/>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189,150</w:t>
            </w:r>
          </w:p>
        </w:tc>
        <w:tc>
          <w:tcPr>
            <w:tcW w:w="34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31,168</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(e)</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1,639,309</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1,639,309</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25,128</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65,238</w:t>
            </w:r>
          </w:p>
        </w:tc>
        <w:tc>
          <w:tcPr>
            <w:tcW w:w="0" w:type="dxa"/>
            <w:vAlign w:val="bottom"/>
          </w:tcPr>
          <w:p>
            <w:pPr>
              <w:spacing w:after="0"/>
              <w:rPr>
                <w:sz w:val="1"/>
                <w:szCs w:val="1"/>
                <w:color w:val="auto"/>
              </w:rPr>
            </w:pPr>
          </w:p>
        </w:tc>
      </w:tr>
      <w:tr>
        <w:trPr>
          <w:trHeight w:val="234"/>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(191,633 )</w:t>
            </w:r>
          </w:p>
        </w:tc>
        <w:tc>
          <w:tcPr>
            <w:tcW w:w="120" w:type="dxa"/>
            <w:vAlign w:val="bottom"/>
          </w:tcPr>
          <w:p>
            <w:pPr>
              <w:spacing w:after="0"/>
              <w:rPr>
                <w:sz w:val="20"/>
                <w:szCs w:val="20"/>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(191,633 )</w:t>
            </w:r>
          </w:p>
        </w:tc>
        <w:tc>
          <w:tcPr>
            <w:tcW w:w="11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1"/>
        </w:trPr>
        <w:tc>
          <w:tcPr>
            <w:tcW w:w="1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7,534,798</w:t>
            </w:r>
          </w:p>
        </w:tc>
        <w:tc>
          <w:tcPr>
            <w:tcW w:w="220" w:type="dxa"/>
            <w:vAlign w:val="bottom"/>
          </w:tcPr>
          <w:p>
            <w:pPr>
              <w:spacing w:after="0"/>
              <w:rPr>
                <w:sz w:val="16"/>
                <w:szCs w:val="16"/>
                <w:color w:val="auto"/>
              </w:rPr>
            </w:pPr>
          </w:p>
        </w:tc>
        <w:tc>
          <w:tcPr>
            <w:tcW w:w="10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(2,460,646</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5,074,152</w:t>
            </w:r>
          </w:p>
        </w:tc>
        <w:tc>
          <w:tcPr>
            <w:tcW w:w="220" w:type="dxa"/>
            <w:vAlign w:val="bottom"/>
          </w:tcPr>
          <w:p>
            <w:pPr>
              <w:spacing w:after="0"/>
              <w:rPr>
                <w:sz w:val="16"/>
                <w:szCs w:val="16"/>
                <w:color w:val="auto"/>
              </w:rPr>
            </w:pPr>
          </w:p>
        </w:tc>
        <w:tc>
          <w:tcPr>
            <w:tcW w:w="1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214,278</w:t>
            </w:r>
          </w:p>
        </w:tc>
        <w:tc>
          <w:tcPr>
            <w:tcW w:w="22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35,164</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w w:val="99"/>
              </w:rPr>
              <w:t>(f)</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793,828</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793,828</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12,053</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65,861</w:t>
            </w:r>
          </w:p>
        </w:tc>
        <w:tc>
          <w:tcPr>
            <w:tcW w:w="0" w:type="dxa"/>
            <w:vAlign w:val="bottom"/>
          </w:tcPr>
          <w:p>
            <w:pPr>
              <w:spacing w:after="0"/>
              <w:rPr>
                <w:sz w:val="1"/>
                <w:szCs w:val="1"/>
                <w:color w:val="auto"/>
              </w:rPr>
            </w:pPr>
          </w:p>
        </w:tc>
      </w:tr>
      <w:tr>
        <w:trPr>
          <w:trHeight w:val="234"/>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(180,090 )</w:t>
            </w:r>
          </w:p>
        </w:tc>
        <w:tc>
          <w:tcPr>
            <w:tcW w:w="120" w:type="dxa"/>
            <w:vAlign w:val="bottom"/>
          </w:tcPr>
          <w:p>
            <w:pPr>
              <w:spacing w:after="0"/>
              <w:rPr>
                <w:sz w:val="20"/>
                <w:szCs w:val="20"/>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(180,090 )</w:t>
            </w:r>
          </w:p>
        </w:tc>
        <w:tc>
          <w:tcPr>
            <w:tcW w:w="11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1"/>
        </w:trPr>
        <w:tc>
          <w:tcPr>
            <w:tcW w:w="1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8,328,626</w:t>
            </w:r>
          </w:p>
        </w:tc>
        <w:tc>
          <w:tcPr>
            <w:tcW w:w="220" w:type="dxa"/>
            <w:vAlign w:val="bottom"/>
          </w:tcPr>
          <w:p>
            <w:pPr>
              <w:spacing w:after="0"/>
              <w:rPr>
                <w:sz w:val="16"/>
                <w:szCs w:val="16"/>
                <w:color w:val="auto"/>
              </w:rPr>
            </w:pPr>
          </w:p>
        </w:tc>
        <w:tc>
          <w:tcPr>
            <w:tcW w:w="10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(2,640,736</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5,687,890</w:t>
            </w:r>
          </w:p>
        </w:tc>
        <w:tc>
          <w:tcPr>
            <w:tcW w:w="220" w:type="dxa"/>
            <w:vAlign w:val="bottom"/>
          </w:tcPr>
          <w:p>
            <w:pPr>
              <w:spacing w:after="0"/>
              <w:rPr>
                <w:sz w:val="16"/>
                <w:szCs w:val="16"/>
                <w:color w:val="auto"/>
              </w:rPr>
            </w:pPr>
          </w:p>
        </w:tc>
        <w:tc>
          <w:tcPr>
            <w:tcW w:w="1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226,331</w:t>
            </w:r>
          </w:p>
        </w:tc>
        <w:tc>
          <w:tcPr>
            <w:tcW w:w="22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36,798</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(g)</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1,575,073</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1,575,073</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25,889</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60,839</w:t>
            </w:r>
          </w:p>
        </w:tc>
        <w:tc>
          <w:tcPr>
            <w:tcW w:w="0" w:type="dxa"/>
            <w:vAlign w:val="bottom"/>
          </w:tcPr>
          <w:p>
            <w:pPr>
              <w:spacing w:after="0"/>
              <w:rPr>
                <w:sz w:val="1"/>
                <w:szCs w:val="1"/>
                <w:color w:val="auto"/>
              </w:rPr>
            </w:pPr>
          </w:p>
        </w:tc>
      </w:tr>
      <w:tr>
        <w:trPr>
          <w:trHeight w:val="234"/>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(412,084 )</w:t>
            </w:r>
          </w:p>
        </w:tc>
        <w:tc>
          <w:tcPr>
            <w:tcW w:w="120" w:type="dxa"/>
            <w:vAlign w:val="bottom"/>
          </w:tcPr>
          <w:p>
            <w:pPr>
              <w:spacing w:after="0"/>
              <w:rPr>
                <w:sz w:val="20"/>
                <w:szCs w:val="20"/>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(412,084 )</w:t>
            </w:r>
          </w:p>
        </w:tc>
        <w:tc>
          <w:tcPr>
            <w:tcW w:w="11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191"/>
        </w:trPr>
        <w:tc>
          <w:tcPr>
            <w:tcW w:w="1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9,903,699</w:t>
            </w:r>
          </w:p>
        </w:tc>
        <w:tc>
          <w:tcPr>
            <w:tcW w:w="220" w:type="dxa"/>
            <w:vAlign w:val="bottom"/>
          </w:tcPr>
          <w:p>
            <w:pPr>
              <w:spacing w:after="0"/>
              <w:rPr>
                <w:sz w:val="16"/>
                <w:szCs w:val="16"/>
                <w:color w:val="auto"/>
              </w:rPr>
            </w:pPr>
          </w:p>
        </w:tc>
        <w:tc>
          <w:tcPr>
            <w:tcW w:w="10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(3,052,820</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6,850,879</w:t>
            </w:r>
          </w:p>
        </w:tc>
        <w:tc>
          <w:tcPr>
            <w:tcW w:w="220" w:type="dxa"/>
            <w:vAlign w:val="bottom"/>
          </w:tcPr>
          <w:p>
            <w:pPr>
              <w:spacing w:after="0"/>
              <w:rPr>
                <w:sz w:val="16"/>
                <w:szCs w:val="16"/>
                <w:color w:val="auto"/>
              </w:rPr>
            </w:pPr>
          </w:p>
        </w:tc>
        <w:tc>
          <w:tcPr>
            <w:tcW w:w="1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252,220</w:t>
            </w:r>
          </w:p>
        </w:tc>
        <w:tc>
          <w:tcPr>
            <w:tcW w:w="220" w:type="dxa"/>
            <w:vAlign w:val="bottom"/>
          </w:tcPr>
          <w:p>
            <w:pPr>
              <w:spacing w:after="0"/>
              <w:rPr>
                <w:sz w:val="16"/>
                <w:szCs w:val="16"/>
                <w:color w:val="auto"/>
              </w:rPr>
            </w:pPr>
          </w:p>
        </w:tc>
        <w:tc>
          <w:tcPr>
            <w:tcW w:w="12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line="191" w:lineRule="exact"/>
              <w:rPr>
                <w:sz w:val="20"/>
                <w:szCs w:val="20"/>
                <w:color w:val="auto"/>
              </w:rPr>
            </w:pPr>
            <w:r>
              <w:rPr>
                <w:rFonts w:ascii="Times New Roman" w:cs="Times New Roman" w:eastAsia="Times New Roman" w:hAnsi="Times New Roman"/>
                <w:sz w:val="18"/>
                <w:szCs w:val="18"/>
                <w:b w:val="1"/>
                <w:bCs w:val="1"/>
                <w:color w:val="auto"/>
              </w:rPr>
              <w:t>39,266</w:t>
            </w:r>
          </w:p>
        </w:tc>
        <w:tc>
          <w:tcPr>
            <w:tcW w:w="0" w:type="dxa"/>
            <w:vAlign w:val="bottom"/>
          </w:tcPr>
          <w:p>
            <w:pPr>
              <w:spacing w:after="0"/>
              <w:rPr>
                <w:sz w:val="1"/>
                <w:szCs w:val="1"/>
                <w:color w:val="auto"/>
              </w:rPr>
            </w:pPr>
          </w:p>
        </w:tc>
      </w:tr>
      <w:tr>
        <w:trPr>
          <w:trHeight w:val="216"/>
        </w:trPr>
        <w:tc>
          <w:tcPr>
            <w:tcW w:w="118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(h)</w:t>
            </w:r>
          </w:p>
        </w:tc>
        <w:tc>
          <w:tcPr>
            <w:tcW w:w="1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18,064,549</w:t>
            </w:r>
          </w:p>
        </w:tc>
        <w:tc>
          <w:tcPr>
            <w:tcW w:w="22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98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18,064,549</w:t>
            </w:r>
          </w:p>
        </w:tc>
        <w:tc>
          <w:tcPr>
            <w:tcW w:w="220" w:type="dxa"/>
            <w:vAlign w:val="bottom"/>
          </w:tcPr>
          <w:p>
            <w:pPr>
              <w:spacing w:after="0"/>
              <w:rPr>
                <w:sz w:val="18"/>
                <w:szCs w:val="18"/>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195,250</w:t>
            </w:r>
          </w:p>
        </w:tc>
        <w:tc>
          <w:tcPr>
            <w:tcW w:w="22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92,520</w:t>
            </w:r>
          </w:p>
        </w:tc>
        <w:tc>
          <w:tcPr>
            <w:tcW w:w="0" w:type="dxa"/>
            <w:vAlign w:val="bottom"/>
          </w:tcPr>
          <w:p>
            <w:pPr>
              <w:spacing w:after="0"/>
              <w:rPr>
                <w:sz w:val="1"/>
                <w:szCs w:val="1"/>
                <w:color w:val="auto"/>
              </w:rPr>
            </w:pPr>
          </w:p>
        </w:tc>
      </w:tr>
      <w:tr>
        <w:trPr>
          <w:trHeight w:val="234"/>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180" w:type="dxa"/>
            <w:vAlign w:val="bottom"/>
            <w:gridSpan w:val="2"/>
          </w:tcPr>
          <w:p>
            <w:pPr>
              <w:jc w:val="right"/>
              <w:ind w:right="61"/>
              <w:spacing w:after="0"/>
              <w:rPr>
                <w:sz w:val="20"/>
                <w:szCs w:val="20"/>
                <w:color w:val="auto"/>
              </w:rPr>
            </w:pPr>
            <w:r>
              <w:rPr>
                <w:rFonts w:ascii="Times New Roman" w:cs="Times New Roman" w:eastAsia="Times New Roman" w:hAnsi="Times New Roman"/>
                <w:sz w:val="18"/>
                <w:szCs w:val="18"/>
                <w:color w:val="auto"/>
              </w:rPr>
              <w:t>(1,006,055 )</w:t>
            </w:r>
          </w:p>
        </w:tc>
        <w:tc>
          <w:tcPr>
            <w:tcW w:w="120" w:type="dxa"/>
            <w:vAlign w:val="bottom"/>
          </w:tcPr>
          <w:p>
            <w:pPr>
              <w:spacing w:after="0"/>
              <w:rPr>
                <w:sz w:val="20"/>
                <w:szCs w:val="20"/>
                <w:color w:val="auto"/>
              </w:rPr>
            </w:pPr>
          </w:p>
        </w:tc>
        <w:tc>
          <w:tcPr>
            <w:tcW w:w="11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(1,006,055 )</w:t>
            </w:r>
          </w:p>
        </w:tc>
        <w:tc>
          <w:tcPr>
            <w:tcW w:w="11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32"/>
        </w:trPr>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27,968,248</w:t>
            </w:r>
          </w:p>
        </w:tc>
        <w:tc>
          <w:tcPr>
            <w:tcW w:w="220" w:type="dxa"/>
            <w:vAlign w:val="bottom"/>
          </w:tcPr>
          <w:p>
            <w:pPr>
              <w:spacing w:after="0"/>
              <w:rPr>
                <w:sz w:val="20"/>
                <w:szCs w:val="20"/>
                <w:color w:val="auto"/>
              </w:rPr>
            </w:pPr>
          </w:p>
        </w:tc>
        <w:tc>
          <w:tcPr>
            <w:tcW w:w="1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(4,058,875</w:t>
            </w:r>
          </w:p>
        </w:tc>
        <w:tc>
          <w:tcPr>
            <w:tcW w:w="200" w:type="dxa"/>
            <w:vAlign w:val="bottom"/>
          </w:tcPr>
          <w:p>
            <w:pPr>
              <w:jc w:val="right"/>
              <w:ind w:right="61"/>
              <w:spacing w:after="0"/>
              <w:rPr>
                <w:sz w:val="20"/>
                <w:szCs w:val="20"/>
                <w:color w:val="auto"/>
              </w:rPr>
            </w:pPr>
            <w:r>
              <w:rPr>
                <w:rFonts w:ascii="Times New Roman" w:cs="Times New Roman" w:eastAsia="Times New Roman" w:hAnsi="Times New Roman"/>
                <w:sz w:val="16"/>
                <w:szCs w:val="16"/>
                <w:b w:val="1"/>
                <w:bCs w:val="1"/>
                <w:color w:val="auto"/>
                <w:w w:val="74"/>
              </w:rPr>
              <w:t>)</w:t>
            </w:r>
          </w:p>
        </w:tc>
        <w:tc>
          <w:tcPr>
            <w:tcW w:w="1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9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23,909,373</w:t>
            </w:r>
          </w:p>
        </w:tc>
        <w:tc>
          <w:tcPr>
            <w:tcW w:w="220" w:type="dxa"/>
            <w:vAlign w:val="bottom"/>
          </w:tcPr>
          <w:p>
            <w:pPr>
              <w:spacing w:after="0"/>
              <w:rPr>
                <w:sz w:val="20"/>
                <w:szCs w:val="20"/>
                <w:color w:val="auto"/>
              </w:rPr>
            </w:pPr>
          </w:p>
        </w:tc>
        <w:tc>
          <w:tcPr>
            <w:tcW w:w="11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447,470</w:t>
            </w:r>
          </w:p>
        </w:tc>
        <w:tc>
          <w:tcPr>
            <w:tcW w:w="220" w:type="dxa"/>
            <w:vAlign w:val="bottom"/>
          </w:tcPr>
          <w:p>
            <w:pPr>
              <w:spacing w:after="0"/>
              <w:rPr>
                <w:sz w:val="20"/>
                <w:szCs w:val="20"/>
                <w:color w:val="auto"/>
              </w:rPr>
            </w:pPr>
          </w:p>
        </w:tc>
        <w:tc>
          <w:tcPr>
            <w:tcW w:w="1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62,503</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-2267585</wp:posOffset>
            </wp:positionH>
            <wp:positionV relativeFrom="paragraph">
              <wp:posOffset>-3502660</wp:posOffset>
            </wp:positionV>
            <wp:extent cx="7132320" cy="13716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-2945130</wp:posOffset>
            </wp:positionV>
            <wp:extent cx="7132320" cy="13716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-2662555</wp:posOffset>
            </wp:positionV>
            <wp:extent cx="7132320" cy="13716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-2105025</wp:posOffset>
            </wp:positionV>
            <wp:extent cx="7132320" cy="13716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-1830705</wp:posOffset>
            </wp:positionV>
            <wp:extent cx="7132320" cy="13716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-1273810</wp:posOffset>
            </wp:positionV>
            <wp:extent cx="7132320" cy="13716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-990600</wp:posOffset>
            </wp:positionV>
            <wp:extent cx="7132320" cy="13716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-433705</wp:posOffset>
            </wp:positionV>
            <wp:extent cx="7132320" cy="13716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-150495</wp:posOffset>
            </wp:positionV>
            <wp:extent cx="7132320" cy="137160"/>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7132320" cy="13716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-3228340</wp:posOffset>
            </wp:positionV>
            <wp:extent cx="7132320" cy="14605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7132320" cy="146050"/>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-2388235</wp:posOffset>
            </wp:positionV>
            <wp:extent cx="7132320" cy="14541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7132320" cy="145415"/>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-1556385</wp:posOffset>
            </wp:positionV>
            <wp:extent cx="7132320" cy="145415"/>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7132320" cy="145415"/>
                    </a:xfrm>
                    <a:prstGeom prst="rect">
                      <a:avLst/>
                    </a:prstGeom>
                    <a:noFill/>
                  </pic:spPr>
                </pic:pic>
              </a:graphicData>
            </a:graphic>
          </wp:anchor>
        </w:drawing>
        <w:drawing>
          <wp:anchor simplePos="0" relativeHeight="251657728" behindDoc="1" locked="0" layoutInCell="0" allowOverlap="1">
            <wp:simplePos x="0" y="0"/>
            <wp:positionH relativeFrom="column">
              <wp:posOffset>-2267585</wp:posOffset>
            </wp:positionH>
            <wp:positionV relativeFrom="paragraph">
              <wp:posOffset>-716280</wp:posOffset>
            </wp:positionV>
            <wp:extent cx="7132320" cy="14605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7132320" cy="146050"/>
                    </a:xfrm>
                    <a:prstGeom prst="rect">
                      <a:avLst/>
                    </a:prstGeom>
                    <a:noFill/>
                  </pic:spPr>
                </pic:pic>
              </a:graphicData>
            </a:graphic>
          </wp:anchor>
        </w:drawing>
      </w:r>
    </w:p>
    <w:p>
      <w:pPr>
        <w:spacing w:after="0" w:line="166" w:lineRule="exact"/>
        <w:rPr>
          <w:sz w:val="20"/>
          <w:szCs w:val="20"/>
          <w:color w:val="auto"/>
        </w:rPr>
      </w:pPr>
    </w:p>
    <w:p>
      <w:pPr>
        <w:sectPr>
          <w:pgSz w:w="11900" w:h="16838" w:orient="portrait"/>
          <w:cols w:equalWidth="0" w:num="2">
            <w:col w:w="2860" w:space="720"/>
            <w:col w:w="7660"/>
          </w:cols>
          <w:pgMar w:left="320" w:top="981" w:right="339" w:bottom="1440" w:gutter="0" w:footer="0" w:header="0"/>
          <w:type w:val="continuous"/>
        </w:sectPr>
      </w:pPr>
    </w:p>
    <w:p>
      <w:pPr>
        <w:ind w:left="520" w:hanging="512"/>
        <w:spacing w:after="0" w:line="298" w:lineRule="auto"/>
        <w:tabs>
          <w:tab w:leader="none" w:pos="335" w:val="left"/>
        </w:tabs>
        <w:numPr>
          <w:ilvl w:val="0"/>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MicroStrategy owns and has purchased bitcoins both directly and indirectly through its wholly-owned subsidiary, MacroStrategy. References to MicroStrategy below refer to MicroStrategy and its subsidiaries on a consolidated basis.</w:t>
      </w:r>
    </w:p>
    <w:p>
      <w:pPr>
        <w:spacing w:after="0" w:line="150" w:lineRule="exact"/>
        <w:rPr>
          <w:rFonts w:ascii="Times New Roman" w:cs="Times New Roman" w:eastAsia="Times New Roman" w:hAnsi="Times New Roman"/>
          <w:sz w:val="16"/>
          <w:szCs w:val="16"/>
          <w:color w:val="auto"/>
        </w:rPr>
      </w:pPr>
    </w:p>
    <w:p>
      <w:pPr>
        <w:ind w:left="520" w:hanging="512"/>
        <w:spacing w:after="0" w:line="269"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first quarter of 2023, MicroStrategy purchased bitcoin using $179.3 million of the net proceeds from its sale of class A common stock under its at-the-market equity offering program.</w:t>
      </w:r>
    </w:p>
    <w:p>
      <w:pPr>
        <w:ind w:left="520" w:right="20" w:hanging="512"/>
        <w:spacing w:after="0" w:line="264"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second quarter of 2023, MicroStrategy purchased bitcoin using $336.9 million of the net proceeds from its sale of class A common stock under its at-the-market equity offering program and $10.1 million from Excess Cash.</w:t>
      </w:r>
    </w:p>
    <w:p>
      <w:pPr>
        <w:ind w:left="520" w:hanging="512"/>
        <w:spacing w:after="0" w:line="264"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third quarter of 2023, MicroStrategy purchased bitcoin using $147.3 million of the net proceeds from its sale of class A common stock under its at-the-market equity offering program and $14.4 million from Excess Cash.</w:t>
      </w:r>
    </w:p>
    <w:p>
      <w:pPr>
        <w:ind w:left="520" w:right="20" w:hanging="512"/>
        <w:spacing w:after="0" w:line="264"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fourth quarter of 2023, MicroStrategy purchased bitcoin using $1.201 billion of the net proceeds from its sale of class A common stock under its at-the-market equity offering program and $13.4 million from Excess Cash.</w:t>
      </w:r>
    </w:p>
    <w:p>
      <w:pPr>
        <w:jc w:val="both"/>
        <w:ind w:left="520" w:hanging="512"/>
        <w:spacing w:after="0" w:line="264"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first quarter of 2024, MicroStrategy purchased bitcoin using $782.0 million of the net proceeds from its issuance of the 2030 Convertible Notes, $592.3 million of the net proceeds from its issuance of the 2031 Convertible Notes, $137.3 million of the net proceeds from its sale of class A common stock under its at-the-market equity offering program, and $127.7 million from Excess Cash.</w:t>
      </w:r>
    </w:p>
    <w:p>
      <w:pPr>
        <w:ind w:left="520" w:hanging="512"/>
        <w:spacing w:after="0" w:line="264"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second quarter of 2024, MicroStrategy purchased bitcoin using $756.0 million of the net proceeds from its issuance of the 2032 Convertible Notes and $37.8 million from Excess Cash.</w:t>
      </w:r>
    </w:p>
    <w:p>
      <w:pPr>
        <w:ind w:left="520" w:hanging="512"/>
        <w:spacing w:after="0" w:line="264"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third quarter of 2024, MicroStrategy purchased bitcoin using $1.105 billion of the net proceeds from its sale of class A common stock under its at-the-market offering program, $458.2 million of the net proceeds from its issuance of the 2028 Convertible Notes, and $11.4 million from Excess Cash.</w:t>
      </w:r>
    </w:p>
    <w:p>
      <w:pPr>
        <w:ind w:left="520" w:hanging="512"/>
        <w:spacing w:after="0" w:line="288" w:lineRule="auto"/>
        <w:tabs>
          <w:tab w:leader="none" w:pos="520" w:val="left"/>
        </w:tabs>
        <w:numPr>
          <w:ilvl w:val="1"/>
          <w:numId w:val="13"/>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fourth quarter of 2024, MicroStrategy purchased bitcoin using $15.088 billion of the net proceeds from its sale of class A common stock under its at-the-market offering program, $2.974 billion of the net proceeds from its issuance of the 2029 Convertible Notes, and $2.7 million from Excess Cash.</w:t>
      </w:r>
    </w:p>
    <w:p>
      <w:pPr>
        <w:spacing w:after="0" w:line="16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Excess Cash refers to cash in excess of the minimum Cash Assets that MicroStrategy is required to hold under its Treasury Reserve Policy, which may include cash generated by operating activities and cash from the proceeds of financing activities. Cash Assets refers to cash and cash equivalents and short-term investments.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607695</wp:posOffset>
            </wp:positionV>
            <wp:extent cx="7157720" cy="42545"/>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type w:val="continuous"/>
        </w:sectPr>
      </w:pPr>
    </w:p>
    <w:bookmarkStart w:id="13" w:name="page14"/>
    <w:bookmarkEnd w:id="13"/>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DIGITAL ASSETS – ADDITIONAL INFORMATION</w:t>
      </w:r>
    </w:p>
    <w:p>
      <w:pPr>
        <w:spacing w:after="0" w:line="9" w:lineRule="exact"/>
        <w:rPr>
          <w:sz w:val="20"/>
          <w:szCs w:val="20"/>
          <w:color w:val="auto"/>
        </w:rPr>
      </w:pPr>
    </w:p>
    <w:p>
      <w:pPr>
        <w:jc w:val="center"/>
        <w:ind w:right="40"/>
        <w:spacing w:after="0"/>
        <w:rPr>
          <w:sz w:val="20"/>
          <w:szCs w:val="20"/>
          <w:color w:val="auto"/>
        </w:rPr>
      </w:pPr>
      <w:r>
        <w:rPr>
          <w:rFonts w:ascii="Times New Roman" w:cs="Times New Roman" w:eastAsia="Times New Roman" w:hAnsi="Times New Roman"/>
          <w:sz w:val="18"/>
          <w:szCs w:val="18"/>
          <w:b w:val="1"/>
          <w:bCs w:val="1"/>
          <w:color w:val="auto"/>
        </w:rPr>
        <w:t>MARKET VALUE OF BITCOIN HOLDINGS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(unaudited)</w:t>
      </w:r>
    </w:p>
    <w:p>
      <w:pPr>
        <w:spacing w:after="0" w:line="18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2280" w:type="dxa"/>
            <w:vAlign w:val="bottom"/>
          </w:tcPr>
          <w:p>
            <w:pPr>
              <w:spacing w:after="0"/>
              <w:rPr>
                <w:sz w:val="13"/>
                <w:szCs w:val="13"/>
                <w:color w:val="auto"/>
              </w:rPr>
            </w:pPr>
          </w:p>
        </w:tc>
        <w:tc>
          <w:tcPr>
            <w:tcW w:w="102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120" w:type="dxa"/>
            <w:vAlign w:val="bottom"/>
            <w:gridSpan w:val="2"/>
          </w:tcPr>
          <w:p>
            <w:pPr>
              <w:ind w:left="2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0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94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120" w:type="dxa"/>
            <w:vAlign w:val="bottom"/>
            <w:gridSpan w:val="2"/>
          </w:tcPr>
          <w:p>
            <w:pPr>
              <w:ind w:left="4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82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220" w:type="dxa"/>
            <w:vAlign w:val="bottom"/>
            <w:gridSpan w:val="3"/>
          </w:tcPr>
          <w:p>
            <w:pPr>
              <w:ind w:left="2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0" w:type="dxa"/>
            <w:vAlign w:val="bottom"/>
          </w:tcPr>
          <w:p>
            <w:pPr>
              <w:spacing w:after="0"/>
              <w:rPr>
                <w:sz w:val="1"/>
                <w:szCs w:val="1"/>
                <w:color w:val="auto"/>
              </w:rPr>
            </w:pPr>
          </w:p>
        </w:tc>
      </w:tr>
      <w:tr>
        <w:trPr>
          <w:trHeight w:val="148"/>
        </w:trPr>
        <w:tc>
          <w:tcPr>
            <w:tcW w:w="2280" w:type="dxa"/>
            <w:vAlign w:val="bottom"/>
          </w:tcPr>
          <w:p>
            <w:pPr>
              <w:spacing w:after="0"/>
              <w:rPr>
                <w:sz w:val="12"/>
                <w:szCs w:val="12"/>
                <w:color w:val="auto"/>
              </w:rPr>
            </w:pPr>
          </w:p>
        </w:tc>
        <w:tc>
          <w:tcPr>
            <w:tcW w:w="102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1020" w:type="dxa"/>
            <w:vAlign w:val="bottom"/>
            <w:gridSpan w:val="2"/>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Lowest Market</w:t>
            </w:r>
          </w:p>
        </w:tc>
        <w:tc>
          <w:tcPr>
            <w:tcW w:w="22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00" w:type="dxa"/>
            <w:vAlign w:val="bottom"/>
          </w:tcPr>
          <w:p>
            <w:pPr>
              <w:spacing w:after="0"/>
              <w:rPr>
                <w:sz w:val="12"/>
                <w:szCs w:val="12"/>
                <w:color w:val="auto"/>
              </w:rPr>
            </w:pPr>
          </w:p>
        </w:tc>
        <w:tc>
          <w:tcPr>
            <w:tcW w:w="114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Highest Market</w:t>
            </w:r>
          </w:p>
        </w:tc>
        <w:tc>
          <w:tcPr>
            <w:tcW w:w="20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20" w:type="dxa"/>
            <w:vAlign w:val="bottom"/>
          </w:tcPr>
          <w:p>
            <w:pPr>
              <w:spacing w:after="0"/>
              <w:rPr>
                <w:sz w:val="12"/>
                <w:szCs w:val="12"/>
                <w:color w:val="auto"/>
              </w:rPr>
            </w:pPr>
          </w:p>
        </w:tc>
        <w:tc>
          <w:tcPr>
            <w:tcW w:w="102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Market Price</w:t>
            </w:r>
          </w:p>
        </w:tc>
        <w:tc>
          <w:tcPr>
            <w:tcW w:w="220" w:type="dxa"/>
            <w:vAlign w:val="bottom"/>
          </w:tcPr>
          <w:p>
            <w:pPr>
              <w:spacing w:after="0"/>
              <w:rPr>
                <w:sz w:val="12"/>
                <w:szCs w:val="12"/>
                <w:color w:val="auto"/>
              </w:rPr>
            </w:pPr>
          </w:p>
        </w:tc>
        <w:tc>
          <w:tcPr>
            <w:tcW w:w="1220" w:type="dxa"/>
            <w:vAlign w:val="bottom"/>
            <w:gridSpan w:val="3"/>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0" w:type="dxa"/>
            <w:vAlign w:val="bottom"/>
          </w:tcPr>
          <w:p>
            <w:pPr>
              <w:spacing w:after="0"/>
              <w:rPr>
                <w:sz w:val="1"/>
                <w:szCs w:val="1"/>
                <w:color w:val="auto"/>
              </w:rPr>
            </w:pPr>
          </w:p>
        </w:tc>
      </w:tr>
      <w:tr>
        <w:trPr>
          <w:trHeight w:val="148"/>
        </w:trPr>
        <w:tc>
          <w:tcPr>
            <w:tcW w:w="2280" w:type="dxa"/>
            <w:vAlign w:val="bottom"/>
          </w:tcPr>
          <w:p>
            <w:pPr>
              <w:spacing w:after="0"/>
              <w:rPr>
                <w:sz w:val="12"/>
                <w:szCs w:val="12"/>
                <w:color w:val="auto"/>
              </w:rPr>
            </w:pPr>
          </w:p>
        </w:tc>
        <w:tc>
          <w:tcPr>
            <w:tcW w:w="10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40" w:type="dxa"/>
            <w:vAlign w:val="bottom"/>
          </w:tcPr>
          <w:p>
            <w:pPr>
              <w:spacing w:after="0"/>
              <w:rPr>
                <w:sz w:val="12"/>
                <w:szCs w:val="12"/>
                <w:color w:val="auto"/>
              </w:rPr>
            </w:pPr>
          </w:p>
        </w:tc>
        <w:tc>
          <w:tcPr>
            <w:tcW w:w="102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00" w:type="dxa"/>
            <w:vAlign w:val="bottom"/>
          </w:tcPr>
          <w:p>
            <w:pPr>
              <w:spacing w:after="0"/>
              <w:rPr>
                <w:sz w:val="12"/>
                <w:szCs w:val="12"/>
                <w:color w:val="auto"/>
              </w:rPr>
            </w:pPr>
          </w:p>
        </w:tc>
        <w:tc>
          <w:tcPr>
            <w:tcW w:w="1140" w:type="dxa"/>
            <w:vAlign w:val="bottom"/>
            <w:gridSpan w:val="2"/>
            <w:vMerge w:val="continue"/>
          </w:tcPr>
          <w:p>
            <w:pPr>
              <w:spacing w:after="0"/>
              <w:rPr>
                <w:sz w:val="12"/>
                <w:szCs w:val="12"/>
                <w:color w:val="auto"/>
              </w:rPr>
            </w:pPr>
          </w:p>
        </w:tc>
        <w:tc>
          <w:tcPr>
            <w:tcW w:w="20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20" w:type="dxa"/>
            <w:vAlign w:val="bottom"/>
          </w:tcPr>
          <w:p>
            <w:pPr>
              <w:spacing w:after="0"/>
              <w:rPr>
                <w:sz w:val="12"/>
                <w:szCs w:val="12"/>
                <w:color w:val="auto"/>
              </w:rPr>
            </w:pPr>
          </w:p>
        </w:tc>
        <w:tc>
          <w:tcPr>
            <w:tcW w:w="102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220" w:type="dxa"/>
            <w:vAlign w:val="bottom"/>
            <w:gridSpan w:val="3"/>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0" w:type="dxa"/>
            <w:vAlign w:val="bottom"/>
          </w:tcPr>
          <w:p>
            <w:pPr>
              <w:spacing w:after="0"/>
              <w:rPr>
                <w:sz w:val="1"/>
                <w:szCs w:val="1"/>
                <w:color w:val="auto"/>
              </w:rPr>
            </w:pPr>
          </w:p>
        </w:tc>
      </w:tr>
      <w:tr>
        <w:trPr>
          <w:trHeight w:val="149"/>
        </w:trPr>
        <w:tc>
          <w:tcPr>
            <w:tcW w:w="2280" w:type="dxa"/>
            <w:vAlign w:val="bottom"/>
          </w:tcPr>
          <w:p>
            <w:pPr>
              <w:spacing w:after="0"/>
              <w:rPr>
                <w:sz w:val="12"/>
                <w:szCs w:val="12"/>
                <w:color w:val="auto"/>
              </w:rPr>
            </w:pPr>
          </w:p>
        </w:tc>
        <w:tc>
          <w:tcPr>
            <w:tcW w:w="10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Bitcoins Held at</w:t>
            </w:r>
          </w:p>
        </w:tc>
        <w:tc>
          <w:tcPr>
            <w:tcW w:w="2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880" w:type="dxa"/>
            <w:vAlign w:val="bottom"/>
          </w:tcPr>
          <w:p>
            <w:pPr>
              <w:jc w:val="right"/>
              <w:ind w:right="153"/>
              <w:spacing w:after="0" w:line="149" w:lineRule="exact"/>
              <w:rPr>
                <w:sz w:val="20"/>
                <w:szCs w:val="20"/>
                <w:color w:val="auto"/>
              </w:rPr>
            </w:pPr>
            <w:r>
              <w:rPr>
                <w:rFonts w:ascii="Times New Roman" w:cs="Times New Roman" w:eastAsia="Times New Roman" w:hAnsi="Times New Roman"/>
                <w:sz w:val="14"/>
                <w:szCs w:val="14"/>
                <w:b w:val="1"/>
                <w:bCs w:val="1"/>
                <w:color w:val="auto"/>
              </w:rPr>
              <w:t>Price Per</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020" w:type="dxa"/>
            <w:vAlign w:val="bottom"/>
          </w:tcPr>
          <w:p>
            <w:pPr>
              <w:jc w:val="center"/>
              <w:ind w:right="73"/>
              <w:spacing w:after="0" w:line="149" w:lineRule="exact"/>
              <w:rPr>
                <w:sz w:val="20"/>
                <w:szCs w:val="20"/>
                <w:color w:val="auto"/>
              </w:rPr>
            </w:pPr>
            <w:r>
              <w:rPr>
                <w:rFonts w:ascii="Times New Roman" w:cs="Times New Roman" w:eastAsia="Times New Roman" w:hAnsi="Times New Roman"/>
                <w:sz w:val="14"/>
                <w:szCs w:val="14"/>
                <w:b w:val="1"/>
                <w:bCs w:val="1"/>
                <w:color w:val="auto"/>
              </w:rPr>
              <w:t>Using Lowest</w:t>
            </w:r>
          </w:p>
        </w:tc>
        <w:tc>
          <w:tcPr>
            <w:tcW w:w="200" w:type="dxa"/>
            <w:vAlign w:val="bottom"/>
          </w:tcPr>
          <w:p>
            <w:pPr>
              <w:spacing w:after="0"/>
              <w:rPr>
                <w:sz w:val="12"/>
                <w:szCs w:val="12"/>
                <w:color w:val="auto"/>
              </w:rPr>
            </w:pPr>
          </w:p>
        </w:tc>
        <w:tc>
          <w:tcPr>
            <w:tcW w:w="114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Price Per Bitcoin</w:t>
            </w:r>
          </w:p>
        </w:tc>
        <w:tc>
          <w:tcPr>
            <w:tcW w:w="2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00" w:type="dxa"/>
            <w:vAlign w:val="bottom"/>
          </w:tcPr>
          <w:p>
            <w:pPr>
              <w:jc w:val="center"/>
              <w:ind w:right="53"/>
              <w:spacing w:after="0" w:line="149" w:lineRule="exact"/>
              <w:rPr>
                <w:sz w:val="20"/>
                <w:szCs w:val="20"/>
                <w:color w:val="auto"/>
              </w:rPr>
            </w:pPr>
            <w:r>
              <w:rPr>
                <w:rFonts w:ascii="Times New Roman" w:cs="Times New Roman" w:eastAsia="Times New Roman" w:hAnsi="Times New Roman"/>
                <w:sz w:val="14"/>
                <w:szCs w:val="14"/>
                <w:b w:val="1"/>
                <w:bCs w:val="1"/>
                <w:color w:val="auto"/>
              </w:rPr>
              <w:t>Using Highest</w:t>
            </w:r>
          </w:p>
        </w:tc>
        <w:tc>
          <w:tcPr>
            <w:tcW w:w="220" w:type="dxa"/>
            <w:vAlign w:val="bottom"/>
          </w:tcPr>
          <w:p>
            <w:pPr>
              <w:spacing w:after="0"/>
              <w:rPr>
                <w:sz w:val="12"/>
                <w:szCs w:val="12"/>
                <w:color w:val="auto"/>
              </w:rPr>
            </w:pPr>
          </w:p>
        </w:tc>
        <w:tc>
          <w:tcPr>
            <w:tcW w:w="10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Per Bitcoin at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120" w:type="dxa"/>
            <w:vAlign w:val="bottom"/>
            <w:gridSpan w:val="2"/>
          </w:tcPr>
          <w:p>
            <w:pPr>
              <w:jc w:val="center"/>
              <w:ind w:right="240"/>
              <w:spacing w:after="0" w:line="149" w:lineRule="exact"/>
              <w:rPr>
                <w:sz w:val="20"/>
                <w:szCs w:val="20"/>
                <w:color w:val="auto"/>
              </w:rPr>
            </w:pPr>
            <w:r>
              <w:rPr>
                <w:rFonts w:ascii="Times New Roman" w:cs="Times New Roman" w:eastAsia="Times New Roman" w:hAnsi="Times New Roman"/>
                <w:sz w:val="14"/>
                <w:szCs w:val="14"/>
                <w:b w:val="1"/>
                <w:bCs w:val="1"/>
                <w:color w:val="auto"/>
              </w:rPr>
              <w:t>Using Ending</w:t>
            </w:r>
          </w:p>
        </w:tc>
        <w:tc>
          <w:tcPr>
            <w:tcW w:w="0" w:type="dxa"/>
            <w:vAlign w:val="bottom"/>
          </w:tcPr>
          <w:p>
            <w:pPr>
              <w:spacing w:after="0"/>
              <w:rPr>
                <w:sz w:val="1"/>
                <w:szCs w:val="1"/>
                <w:color w:val="auto"/>
              </w:rPr>
            </w:pPr>
          </w:p>
        </w:tc>
      </w:tr>
      <w:tr>
        <w:trPr>
          <w:trHeight w:val="148"/>
        </w:trPr>
        <w:tc>
          <w:tcPr>
            <w:tcW w:w="2280" w:type="dxa"/>
            <w:vAlign w:val="bottom"/>
          </w:tcPr>
          <w:p>
            <w:pPr>
              <w:spacing w:after="0"/>
              <w:rPr>
                <w:sz w:val="12"/>
                <w:szCs w:val="12"/>
                <w:color w:val="auto"/>
              </w:rPr>
            </w:pPr>
          </w:p>
        </w:tc>
        <w:tc>
          <w:tcPr>
            <w:tcW w:w="102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40" w:type="dxa"/>
            <w:vAlign w:val="bottom"/>
          </w:tcPr>
          <w:p>
            <w:pPr>
              <w:spacing w:after="0"/>
              <w:rPr>
                <w:sz w:val="12"/>
                <w:szCs w:val="12"/>
                <w:color w:val="auto"/>
              </w:rPr>
            </w:pPr>
          </w:p>
        </w:tc>
        <w:tc>
          <w:tcPr>
            <w:tcW w:w="1020" w:type="dxa"/>
            <w:vAlign w:val="bottom"/>
            <w:gridSpan w:val="2"/>
          </w:tcPr>
          <w:p>
            <w:pPr>
              <w:ind w:left="40"/>
              <w:spacing w:after="0" w:line="149" w:lineRule="exact"/>
              <w:rPr>
                <w:sz w:val="20"/>
                <w:szCs w:val="20"/>
                <w:color w:val="auto"/>
              </w:rPr>
            </w:pPr>
            <w:r>
              <w:rPr>
                <w:rFonts w:ascii="Times New Roman" w:cs="Times New Roman" w:eastAsia="Times New Roman" w:hAnsi="Times New Roman"/>
                <w:sz w:val="14"/>
                <w:szCs w:val="14"/>
                <w:b w:val="1"/>
                <w:bCs w:val="1"/>
                <w:color w:val="auto"/>
              </w:rPr>
              <w:t>Bitcoin During</w:t>
            </w:r>
          </w:p>
        </w:tc>
        <w:tc>
          <w:tcPr>
            <w:tcW w:w="220" w:type="dxa"/>
            <w:vAlign w:val="bottom"/>
          </w:tcPr>
          <w:p>
            <w:pPr>
              <w:spacing w:after="0"/>
              <w:rPr>
                <w:sz w:val="12"/>
                <w:szCs w:val="12"/>
                <w:color w:val="auto"/>
              </w:rPr>
            </w:pPr>
          </w:p>
        </w:tc>
        <w:tc>
          <w:tcPr>
            <w:tcW w:w="11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00" w:type="dxa"/>
            <w:vAlign w:val="bottom"/>
          </w:tcPr>
          <w:p>
            <w:pPr>
              <w:spacing w:after="0"/>
              <w:rPr>
                <w:sz w:val="12"/>
                <w:szCs w:val="12"/>
                <w:color w:val="auto"/>
              </w:rPr>
            </w:pPr>
          </w:p>
        </w:tc>
        <w:tc>
          <w:tcPr>
            <w:tcW w:w="114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During Quarter</w:t>
            </w:r>
          </w:p>
        </w:tc>
        <w:tc>
          <w:tcPr>
            <w:tcW w:w="200" w:type="dxa"/>
            <w:vAlign w:val="bottom"/>
          </w:tcPr>
          <w:p>
            <w:pPr>
              <w:spacing w:after="0"/>
              <w:rPr>
                <w:sz w:val="12"/>
                <w:szCs w:val="12"/>
                <w:color w:val="auto"/>
              </w:rPr>
            </w:pPr>
          </w:p>
        </w:tc>
        <w:tc>
          <w:tcPr>
            <w:tcW w:w="1120" w:type="dxa"/>
            <w:vAlign w:val="bottom"/>
            <w:gridSpan w:val="2"/>
          </w:tcPr>
          <w:p>
            <w:pPr>
              <w:ind w:left="4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20" w:type="dxa"/>
            <w:vAlign w:val="bottom"/>
          </w:tcPr>
          <w:p>
            <w:pPr>
              <w:spacing w:after="0"/>
              <w:rPr>
                <w:sz w:val="12"/>
                <w:szCs w:val="12"/>
                <w:color w:val="auto"/>
              </w:rPr>
            </w:pPr>
          </w:p>
        </w:tc>
        <w:tc>
          <w:tcPr>
            <w:tcW w:w="10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20" w:type="dxa"/>
            <w:vAlign w:val="bottom"/>
          </w:tcPr>
          <w:p>
            <w:pPr>
              <w:spacing w:after="0"/>
              <w:rPr>
                <w:sz w:val="12"/>
                <w:szCs w:val="12"/>
                <w:color w:val="auto"/>
              </w:rPr>
            </w:pPr>
          </w:p>
        </w:tc>
        <w:tc>
          <w:tcPr>
            <w:tcW w:w="1220" w:type="dxa"/>
            <w:vAlign w:val="bottom"/>
            <w:gridSpan w:val="3"/>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0" w:type="dxa"/>
            <w:vAlign w:val="bottom"/>
          </w:tcPr>
          <w:p>
            <w:pPr>
              <w:spacing w:after="0"/>
              <w:rPr>
                <w:sz w:val="1"/>
                <w:szCs w:val="1"/>
                <w:color w:val="auto"/>
              </w:rPr>
            </w:pPr>
          </w:p>
        </w:tc>
      </w:tr>
      <w:tr>
        <w:trPr>
          <w:trHeight w:val="173"/>
        </w:trPr>
        <w:tc>
          <w:tcPr>
            <w:tcW w:w="2280" w:type="dxa"/>
            <w:vAlign w:val="bottom"/>
          </w:tcPr>
          <w:p>
            <w:pPr>
              <w:spacing w:after="0"/>
              <w:rPr>
                <w:sz w:val="15"/>
                <w:szCs w:val="15"/>
                <w:color w:val="auto"/>
              </w:rPr>
            </w:pPr>
          </w:p>
        </w:tc>
        <w:tc>
          <w:tcPr>
            <w:tcW w:w="10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240" w:type="dxa"/>
            <w:vAlign w:val="bottom"/>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880" w:type="dxa"/>
            <w:vAlign w:val="bottom"/>
            <w:tcBorders>
              <w:bottom w:val="single" w:sz="8" w:color="auto"/>
            </w:tcBorders>
          </w:tcPr>
          <w:p>
            <w:pPr>
              <w:jc w:val="right"/>
              <w:ind w:right="73"/>
              <w:spacing w:after="0"/>
              <w:rPr>
                <w:sz w:val="20"/>
                <w:szCs w:val="20"/>
                <w:color w:val="auto"/>
              </w:rPr>
            </w:pPr>
            <w:r>
              <w:rPr>
                <w:rFonts w:ascii="Times New Roman" w:cs="Times New Roman" w:eastAsia="Times New Roman" w:hAnsi="Times New Roman"/>
                <w:sz w:val="14"/>
                <w:szCs w:val="14"/>
                <w:b w:val="1"/>
                <w:bCs w:val="1"/>
                <w:color w:val="auto"/>
              </w:rPr>
              <w:t>Quarter (a)</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1020" w:type="dxa"/>
            <w:vAlign w:val="bottom"/>
            <w:tcBorders>
              <w:bottom w:val="single" w:sz="8" w:color="auto"/>
            </w:tcBorders>
          </w:tcPr>
          <w:p>
            <w:pPr>
              <w:jc w:val="center"/>
              <w:ind w:right="13"/>
              <w:spacing w:after="0"/>
              <w:rPr>
                <w:sz w:val="20"/>
                <w:szCs w:val="20"/>
                <w:color w:val="auto"/>
              </w:rPr>
            </w:pPr>
            <w:r>
              <w:rPr>
                <w:rFonts w:ascii="Times New Roman" w:cs="Times New Roman" w:eastAsia="Times New Roman" w:hAnsi="Times New Roman"/>
                <w:sz w:val="14"/>
                <w:szCs w:val="14"/>
                <w:b w:val="1"/>
                <w:bCs w:val="1"/>
                <w:color w:val="auto"/>
              </w:rPr>
              <w:t>thousands) (b)</w:t>
            </w:r>
          </w:p>
        </w:tc>
        <w:tc>
          <w:tcPr>
            <w:tcW w:w="20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940" w:type="dxa"/>
            <w:vAlign w:val="bottom"/>
            <w:tcBorders>
              <w:bottom w:val="single" w:sz="8" w:color="auto"/>
            </w:tcBorders>
          </w:tcPr>
          <w:p>
            <w:pPr>
              <w:jc w:val="center"/>
              <w:ind w:right="132"/>
              <w:spacing w:after="0"/>
              <w:rPr>
                <w:sz w:val="20"/>
                <w:szCs w:val="20"/>
                <w:color w:val="auto"/>
              </w:rPr>
            </w:pPr>
            <w:r>
              <w:rPr>
                <w:rFonts w:ascii="Times New Roman" w:cs="Times New Roman" w:eastAsia="Times New Roman" w:hAnsi="Times New Roman"/>
                <w:sz w:val="14"/>
                <w:szCs w:val="14"/>
                <w:b w:val="1"/>
                <w:bCs w:val="1"/>
                <w:color w:val="auto"/>
              </w:rPr>
              <w:t>(c)</w:t>
            </w:r>
          </w:p>
        </w:tc>
        <w:tc>
          <w:tcPr>
            <w:tcW w:w="20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000" w:type="dxa"/>
            <w:vAlign w:val="bottom"/>
            <w:tcBorders>
              <w:bottom w:val="single" w:sz="8" w:color="auto"/>
            </w:tcBorders>
          </w:tcPr>
          <w:p>
            <w:pPr>
              <w:jc w:val="center"/>
              <w:ind w:right="33"/>
              <w:spacing w:after="0"/>
              <w:rPr>
                <w:sz w:val="20"/>
                <w:szCs w:val="20"/>
                <w:color w:val="auto"/>
              </w:rPr>
            </w:pPr>
            <w:r>
              <w:rPr>
                <w:rFonts w:ascii="Times New Roman" w:cs="Times New Roman" w:eastAsia="Times New Roman" w:hAnsi="Times New Roman"/>
                <w:sz w:val="14"/>
                <w:szCs w:val="14"/>
                <w:b w:val="1"/>
                <w:bCs w:val="1"/>
                <w:color w:val="auto"/>
              </w:rPr>
              <w:t>thousands) (d)</w:t>
            </w:r>
          </w:p>
        </w:tc>
        <w:tc>
          <w:tcPr>
            <w:tcW w:w="22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820" w:type="dxa"/>
            <w:vAlign w:val="bottom"/>
            <w:tcBorders>
              <w:bottom w:val="single" w:sz="8" w:color="auto"/>
            </w:tcBorders>
          </w:tcPr>
          <w:p>
            <w:pPr>
              <w:jc w:val="center"/>
              <w:ind w:right="132"/>
              <w:spacing w:after="0"/>
              <w:rPr>
                <w:sz w:val="20"/>
                <w:szCs w:val="20"/>
                <w:color w:val="auto"/>
              </w:rPr>
            </w:pPr>
            <w:r>
              <w:rPr>
                <w:rFonts w:ascii="Times New Roman" w:cs="Times New Roman" w:eastAsia="Times New Roman" w:hAnsi="Times New Roman"/>
                <w:sz w:val="14"/>
                <w:szCs w:val="14"/>
                <w:b w:val="1"/>
                <w:bCs w:val="1"/>
                <w:color w:val="auto"/>
              </w:rPr>
              <w:t>(e)</w:t>
            </w:r>
          </w:p>
        </w:tc>
        <w:tc>
          <w:tcPr>
            <w:tcW w:w="22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1020" w:type="dxa"/>
            <w:vAlign w:val="bottom"/>
            <w:tcBorders>
              <w:bottom w:val="single" w:sz="8" w:color="auto"/>
            </w:tcBorders>
          </w:tcPr>
          <w:p>
            <w:pPr>
              <w:jc w:val="center"/>
              <w:ind w:right="33"/>
              <w:spacing w:after="0"/>
              <w:rPr>
                <w:sz w:val="20"/>
                <w:szCs w:val="20"/>
                <w:color w:val="auto"/>
              </w:rPr>
            </w:pPr>
            <w:r>
              <w:rPr>
                <w:rFonts w:ascii="Times New Roman" w:cs="Times New Roman" w:eastAsia="Times New Roman" w:hAnsi="Times New Roman"/>
                <w:sz w:val="14"/>
                <w:szCs w:val="14"/>
                <w:b w:val="1"/>
                <w:bCs w:val="1"/>
                <w:color w:val="auto"/>
              </w:rPr>
              <w:t>thousands) (f)</w:t>
            </w: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210"/>
        </w:trPr>
        <w:tc>
          <w:tcPr>
            <w:tcW w:w="228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December 31, 2022</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132,500</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15,460.00</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2,048,450</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21,478.80</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2,845,941</w:t>
            </w:r>
          </w:p>
        </w:tc>
        <w:tc>
          <w:tcPr>
            <w:tcW w:w="4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16,556.32</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2,193,712</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March 31, 2023</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140,000</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16,490.00</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2,308,600</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29,190.04</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4,086,606</w:t>
            </w:r>
          </w:p>
        </w:tc>
        <w:tc>
          <w:tcPr>
            <w:tcW w:w="42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28,468.44</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3,985,582</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June 30, 2023</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152,333</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24,750.00</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3,770,242</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31,443.67</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4,789,909</w:t>
            </w:r>
          </w:p>
        </w:tc>
        <w:tc>
          <w:tcPr>
            <w:tcW w:w="4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30,361.51</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4,625,060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September 30, 2023</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158,245</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24,900.00</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3,940,301</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31,862.21</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5,042,035</w:t>
            </w:r>
          </w:p>
        </w:tc>
        <w:tc>
          <w:tcPr>
            <w:tcW w:w="42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27,030.47</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4,277,437</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December 31, 2023</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26,521.32</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5,016,508</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45,000.00</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8,511,750</w:t>
            </w:r>
          </w:p>
        </w:tc>
        <w:tc>
          <w:tcPr>
            <w:tcW w:w="4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42,531.41</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8,044,816</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March 31, 2024</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214,278</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38,501.00</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8,249,917</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73,835.57</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15,821,338</w:t>
            </w:r>
          </w:p>
        </w:tc>
        <w:tc>
          <w:tcPr>
            <w:tcW w:w="42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71,028.14</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15,219,768</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June 30, 2024</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226,331</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56,500.00</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12,787,702</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72,777.00</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16,471,691</w:t>
            </w:r>
          </w:p>
        </w:tc>
        <w:tc>
          <w:tcPr>
            <w:tcW w:w="4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61,926.69</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14,015,930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tcPr>
          <w:p>
            <w:pPr>
              <w:ind w:left="60"/>
              <w:spacing w:after="0"/>
              <w:rPr>
                <w:sz w:val="20"/>
                <w:szCs w:val="20"/>
                <w:color w:val="auto"/>
              </w:rPr>
            </w:pPr>
            <w:r>
              <w:rPr>
                <w:rFonts w:ascii="Times New Roman" w:cs="Times New Roman" w:eastAsia="Times New Roman" w:hAnsi="Times New Roman"/>
                <w:sz w:val="18"/>
                <w:szCs w:val="18"/>
                <w:color w:val="auto"/>
              </w:rPr>
              <w:t>September 30, 2024</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252,220</w:t>
            </w:r>
          </w:p>
        </w:tc>
        <w:tc>
          <w:tcPr>
            <w:tcW w:w="38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49,050.01</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12,371,394</w:t>
            </w:r>
          </w:p>
        </w:tc>
        <w:tc>
          <w:tcPr>
            <w:tcW w:w="40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70,000.00</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17,655,400</w:t>
            </w:r>
          </w:p>
        </w:tc>
        <w:tc>
          <w:tcPr>
            <w:tcW w:w="42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63,462.97</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16,006,630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2280" w:type="dxa"/>
            <w:vAlign w:val="bottom"/>
            <w:shd w:val="clear" w:color="auto" w:fill="CFF0FC"/>
          </w:tcPr>
          <w:p>
            <w:pPr>
              <w:ind w:left="60"/>
              <w:spacing w:after="0"/>
              <w:rPr>
                <w:sz w:val="20"/>
                <w:szCs w:val="20"/>
                <w:color w:val="auto"/>
              </w:rPr>
            </w:pPr>
            <w:r>
              <w:rPr>
                <w:rFonts w:ascii="Times New Roman" w:cs="Times New Roman" w:eastAsia="Times New Roman" w:hAnsi="Times New Roman"/>
                <w:sz w:val="18"/>
                <w:szCs w:val="18"/>
                <w:color w:val="auto"/>
              </w:rPr>
              <w:t>December 31, 2024</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447,470</w:t>
            </w:r>
          </w:p>
        </w:tc>
        <w:tc>
          <w:tcPr>
            <w:tcW w:w="38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58,863.90</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26,339,829</w:t>
            </w:r>
          </w:p>
        </w:tc>
        <w:tc>
          <w:tcPr>
            <w:tcW w:w="40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108,388.88</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48,500,772</w:t>
            </w:r>
          </w:p>
        </w:tc>
        <w:tc>
          <w:tcPr>
            <w:tcW w:w="42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93,390.21</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41,789,317</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bl>
    <w:p>
      <w:pPr>
        <w:spacing w:after="0" w:line="189" w:lineRule="exact"/>
        <w:rPr>
          <w:sz w:val="20"/>
          <w:szCs w:val="20"/>
          <w:color w:val="auto"/>
        </w:rPr>
      </w:pPr>
    </w:p>
    <w:p>
      <w:pPr>
        <w:ind w:left="520" w:hanging="512"/>
        <w:spacing w:after="0" w:line="298" w:lineRule="auto"/>
        <w:tabs>
          <w:tab w:leader="none" w:pos="335" w:val="left"/>
        </w:tabs>
        <w:numPr>
          <w:ilvl w:val="0"/>
          <w:numId w:val="14"/>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MicroStrategy owns and has purchased bitcoins both directly and indirectly through its wholly-owned subsidiary, MacroStrategy. References to MicroStrategy below refer to MicroStrategy and its subsidiaries on a consolidated basis.</w:t>
      </w:r>
    </w:p>
    <w:p>
      <w:pPr>
        <w:spacing w:after="0" w:line="164" w:lineRule="exact"/>
        <w:rPr>
          <w:rFonts w:ascii="Times New Roman" w:cs="Times New Roman" w:eastAsia="Times New Roman" w:hAnsi="Times New Roman"/>
          <w:sz w:val="16"/>
          <w:szCs w:val="16"/>
          <w:color w:val="auto"/>
        </w:rPr>
      </w:pPr>
    </w:p>
    <w:p>
      <w:pPr>
        <w:ind w:left="520" w:hanging="512"/>
        <w:spacing w:after="0" w:line="298" w:lineRule="auto"/>
        <w:tabs>
          <w:tab w:leader="none" w:pos="520" w:val="left"/>
        </w:tabs>
        <w:numPr>
          <w:ilvl w:val="1"/>
          <w:numId w:val="14"/>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"Lowest Market Price Per Bitcoin During Quarter" represents the lowest market price for one bitcoin reported on the Coinbase exchange during the respective quarter, without regard to when MicroStrategy purchased any of its bitcoin.</w:t>
      </w:r>
    </w:p>
    <w:p>
      <w:pPr>
        <w:spacing w:after="0" w:line="123" w:lineRule="exact"/>
        <w:rPr>
          <w:rFonts w:ascii="Times New Roman" w:cs="Times New Roman" w:eastAsia="Times New Roman" w:hAnsi="Times New Roman"/>
          <w:sz w:val="16"/>
          <w:szCs w:val="16"/>
          <w:color w:val="auto"/>
        </w:rPr>
      </w:pPr>
    </w:p>
    <w:p>
      <w:pPr>
        <w:jc w:val="both"/>
        <w:ind w:left="520" w:hanging="512"/>
        <w:spacing w:after="0" w:line="290" w:lineRule="auto"/>
        <w:tabs>
          <w:tab w:leader="none" w:pos="520" w:val="left"/>
        </w:tabs>
        <w:numPr>
          <w:ilvl w:val="1"/>
          <w:numId w:val="14"/>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Lowest Market Price" represents a mathematical calculation consisting of the lowest market price for one bitcoin reported on the Coinbase exchange during the respective quarter multiplied by the number of bitcoins held by MicroStrategy at the end of the applicable period.</w:t>
      </w:r>
    </w:p>
    <w:p>
      <w:pPr>
        <w:spacing w:after="0" w:line="143" w:lineRule="exact"/>
        <w:rPr>
          <w:rFonts w:ascii="Times New Roman" w:cs="Times New Roman" w:eastAsia="Times New Roman" w:hAnsi="Times New Roman"/>
          <w:sz w:val="16"/>
          <w:szCs w:val="16"/>
          <w:color w:val="auto"/>
        </w:rPr>
      </w:pPr>
    </w:p>
    <w:p>
      <w:pPr>
        <w:ind w:left="520" w:hanging="512"/>
        <w:spacing w:after="0" w:line="298" w:lineRule="auto"/>
        <w:tabs>
          <w:tab w:leader="none" w:pos="520" w:val="left"/>
        </w:tabs>
        <w:numPr>
          <w:ilvl w:val="1"/>
          <w:numId w:val="14"/>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"Highest Market Price Per Bitcoin During Quarter" represents the highest market price for one bitcoin reported on the Coinbase exchange during the respective quarter, without regard to when MicroStrategy purchased any of its bitcoin.</w:t>
      </w:r>
    </w:p>
    <w:p>
      <w:pPr>
        <w:spacing w:after="0" w:line="123" w:lineRule="exact"/>
        <w:rPr>
          <w:rFonts w:ascii="Times New Roman" w:cs="Times New Roman" w:eastAsia="Times New Roman" w:hAnsi="Times New Roman"/>
          <w:sz w:val="16"/>
          <w:szCs w:val="16"/>
          <w:color w:val="auto"/>
        </w:rPr>
      </w:pPr>
    </w:p>
    <w:p>
      <w:pPr>
        <w:jc w:val="both"/>
        <w:ind w:left="520" w:hanging="512"/>
        <w:spacing w:after="0" w:line="281" w:lineRule="auto"/>
        <w:tabs>
          <w:tab w:leader="none" w:pos="520" w:val="left"/>
        </w:tabs>
        <w:numPr>
          <w:ilvl w:val="1"/>
          <w:numId w:val="14"/>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Highest Market Price" represents a mathematical calculation consisting of the highest market price for one bitcoin reported on the Coinbase exchange during the respective quarter multiplied by the number of bitcoins held by MicroStrategy at the end of the applicable period.</w:t>
      </w:r>
    </w:p>
    <w:p>
      <w:pPr>
        <w:spacing w:after="0" w:line="136" w:lineRule="exact"/>
        <w:rPr>
          <w:rFonts w:ascii="Times New Roman" w:cs="Times New Roman" w:eastAsia="Times New Roman" w:hAnsi="Times New Roman"/>
          <w:sz w:val="16"/>
          <w:szCs w:val="16"/>
          <w:color w:val="auto"/>
        </w:rPr>
      </w:pPr>
    </w:p>
    <w:p>
      <w:pPr>
        <w:ind w:left="520" w:hanging="512"/>
        <w:spacing w:after="0" w:line="298" w:lineRule="auto"/>
        <w:tabs>
          <w:tab w:leader="none" w:pos="520" w:val="left"/>
        </w:tabs>
        <w:numPr>
          <w:ilvl w:val="1"/>
          <w:numId w:val="14"/>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Price Per Bitcoin at End of Quarter" represents the market price of one bitcoin on the Coinbase exchange at 4:00 p.m. Eastern Time on the last day of the respective quarter.</w:t>
      </w:r>
    </w:p>
    <w:p>
      <w:pPr>
        <w:spacing w:after="0" w:line="137" w:lineRule="exact"/>
        <w:rPr>
          <w:rFonts w:ascii="Times New Roman" w:cs="Times New Roman" w:eastAsia="Times New Roman" w:hAnsi="Times New Roman"/>
          <w:sz w:val="16"/>
          <w:szCs w:val="16"/>
          <w:color w:val="auto"/>
        </w:rPr>
      </w:pPr>
    </w:p>
    <w:p>
      <w:pPr>
        <w:jc w:val="both"/>
        <w:ind w:left="520" w:hanging="512"/>
        <w:spacing w:after="0" w:line="281" w:lineRule="auto"/>
        <w:tabs>
          <w:tab w:leader="none" w:pos="520" w:val="left"/>
        </w:tabs>
        <w:numPr>
          <w:ilvl w:val="1"/>
          <w:numId w:val="14"/>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Ending Market Price" represents a mathematical calculation consisting of the market price of one bitcoin on the Coinbase exchange at 4:00 p.m. Eastern Time on the last day of the respective quarter multiplied by the number of bitcoins held by MicroStrategy at the end of the applicable period.</w:t>
      </w:r>
    </w:p>
    <w:p>
      <w:pPr>
        <w:spacing w:after="0" w:line="348"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 amounts reported as “Market Value” in the above table represent only a mathematical calculation consisting of the price for one bitcoin reported on the Coinbase exchange (MicroStrategy’s principal market for bitcoin) in each scenario defined above multiplied by the number of bitcoins held by MicroStrategy at the end of the applicable period. Bitcoin and bitcoin markets may be subject to manipulation and the spot price of bitcoin may be subject to fraud and manipulation. Accordingly, the Market Value amounts reported above may not accurately represent fair market value, and the actual fair market value of MicroStrategy’s bitcoin may be different from such amounts and such deviation may be material. Moreover, (i) the bitcoin market historically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that are, or may be, inherent in its entirely electronic, virtual form and decentralized network and (ii) MicroStrategy may not be able to sell its bitcoins at the Market Value amounts indicated above, at the market price as reported on the Coinbase exchange (its principal market) on the date of sale, or at all.</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619125</wp:posOffset>
            </wp:positionV>
            <wp:extent cx="7157720" cy="42545"/>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4" w:name="page15"/>
    <w:bookmarkEnd w:id="14"/>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RECONCILIATION OF GAAP TO NON-GAAP MEASURES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LOSS FROM OPERATIONS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18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586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2580" w:type="dxa"/>
            <w:vAlign w:val="bottom"/>
            <w:gridSpan w:val="5"/>
          </w:tcPr>
          <w:p>
            <w:pPr>
              <w:jc w:val="right"/>
              <w:ind w:right="84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80" w:type="dxa"/>
            <w:vAlign w:val="bottom"/>
          </w:tcPr>
          <w:p>
            <w:pPr>
              <w:spacing w:after="0"/>
              <w:rPr>
                <w:sz w:val="13"/>
                <w:szCs w:val="13"/>
                <w:color w:val="auto"/>
              </w:rPr>
            </w:pPr>
          </w:p>
        </w:tc>
        <w:tc>
          <w:tcPr>
            <w:tcW w:w="2460" w:type="dxa"/>
            <w:vAlign w:val="bottom"/>
            <w:gridSpan w:val="5"/>
          </w:tcPr>
          <w:p>
            <w:pPr>
              <w:jc w:val="right"/>
              <w:ind w:right="680"/>
              <w:spacing w:after="0"/>
              <w:rPr>
                <w:sz w:val="20"/>
                <w:szCs w:val="20"/>
                <w:color w:val="auto"/>
              </w:rPr>
            </w:pPr>
            <w:r>
              <w:rPr>
                <w:rFonts w:ascii="Times New Roman" w:cs="Times New Roman" w:eastAsia="Times New Roman" w:hAnsi="Times New Roman"/>
                <w:sz w:val="14"/>
                <w:szCs w:val="14"/>
                <w:b w:val="1"/>
                <w:bCs w:val="1"/>
                <w:color w:val="auto"/>
              </w:rPr>
              <w:t>Twelve Months Ended</w:t>
            </w:r>
          </w:p>
        </w:tc>
      </w:tr>
      <w:tr>
        <w:trPr>
          <w:trHeight w:val="173"/>
        </w:trPr>
        <w:tc>
          <w:tcPr>
            <w:tcW w:w="58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2580" w:type="dxa"/>
            <w:vAlign w:val="bottom"/>
            <w:gridSpan w:val="5"/>
          </w:tcPr>
          <w:p>
            <w:pPr>
              <w:jc w:val="right"/>
              <w:ind w:right="106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180" w:type="dxa"/>
            <w:vAlign w:val="bottom"/>
          </w:tcPr>
          <w:p>
            <w:pPr>
              <w:spacing w:after="0"/>
              <w:rPr>
                <w:sz w:val="15"/>
                <w:szCs w:val="15"/>
                <w:color w:val="auto"/>
              </w:rPr>
            </w:pPr>
          </w:p>
        </w:tc>
        <w:tc>
          <w:tcPr>
            <w:tcW w:w="2460" w:type="dxa"/>
            <w:vAlign w:val="bottom"/>
            <w:gridSpan w:val="5"/>
          </w:tcPr>
          <w:p>
            <w:pPr>
              <w:jc w:val="right"/>
              <w:ind w:right="96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42"/>
        </w:trPr>
        <w:tc>
          <w:tcPr>
            <w:tcW w:w="5860" w:type="dxa"/>
            <w:vAlign w:val="bottom"/>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340"/>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357"/>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2"/>
                <w:szCs w:val="12"/>
                <w:color w:val="auto"/>
              </w:rPr>
            </w:pPr>
          </w:p>
        </w:tc>
        <w:tc>
          <w:tcPr>
            <w:tcW w:w="1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360"/>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Borders>
              <w:top w:val="single" w:sz="8" w:color="auto"/>
            </w:tcBorders>
          </w:tcPr>
          <w:p>
            <w:pPr>
              <w:spacing w:after="0"/>
              <w:rPr>
                <w:sz w:val="12"/>
                <w:szCs w:val="12"/>
                <w:color w:val="auto"/>
              </w:rPr>
            </w:pPr>
          </w:p>
        </w:tc>
        <w:tc>
          <w:tcPr>
            <w:tcW w:w="18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357"/>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2"/>
                <w:szCs w:val="12"/>
                <w:color w:val="auto"/>
              </w:rPr>
            </w:pPr>
          </w:p>
        </w:tc>
      </w:tr>
      <w:tr>
        <w:trPr>
          <w:trHeight w:val="142"/>
        </w:trPr>
        <w:tc>
          <w:tcPr>
            <w:tcW w:w="58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980" w:type="dxa"/>
            <w:vAlign w:val="bottom"/>
          </w:tcPr>
          <w:p>
            <w:pPr>
              <w:jc w:val="right"/>
              <w:ind w:right="160"/>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980" w:type="dxa"/>
            <w:vAlign w:val="bottom"/>
          </w:tcPr>
          <w:p>
            <w:pPr>
              <w:jc w:val="right"/>
              <w:ind w:right="157"/>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980" w:type="dxa"/>
            <w:vAlign w:val="bottom"/>
          </w:tcPr>
          <w:p>
            <w:pPr>
              <w:jc w:val="right"/>
              <w:ind w:right="160"/>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980" w:type="dxa"/>
            <w:vAlign w:val="bottom"/>
          </w:tcPr>
          <w:p>
            <w:pPr>
              <w:jc w:val="right"/>
              <w:ind w:right="177"/>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2"/>
                <w:szCs w:val="12"/>
                <w:color w:val="auto"/>
              </w:rPr>
            </w:pPr>
          </w:p>
        </w:tc>
      </w:tr>
      <w:tr>
        <w:trPr>
          <w:trHeight w:val="216"/>
        </w:trPr>
        <w:tc>
          <w:tcPr>
            <w:tcW w:w="5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loss from operations:</w:t>
            </w:r>
          </w:p>
        </w:tc>
        <w:tc>
          <w:tcPr>
            <w:tcW w:w="16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16"/>
        </w:trPr>
        <w:tc>
          <w:tcPr>
            <w:tcW w:w="586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Loss from operations</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(1,016,420 )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(42,785 )</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(1,852,978 )</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(115,047 )</w:t>
            </w:r>
          </w:p>
        </w:tc>
      </w:tr>
      <w:tr>
        <w:trPr>
          <w:trHeight w:val="216"/>
        </w:trPr>
        <w:tc>
          <w:tcPr>
            <w:tcW w:w="5860" w:type="dxa"/>
            <w:vAlign w:val="bottom"/>
            <w:tcBorders>
              <w:bottom w:val="single" w:sz="8" w:color="CFF0FC"/>
            </w:tcBorders>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16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19,335</w:t>
            </w:r>
          </w:p>
        </w:tc>
        <w:tc>
          <w:tcPr>
            <w:tcW w:w="24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19,716</w:t>
            </w:r>
          </w:p>
        </w:tc>
        <w:tc>
          <w:tcPr>
            <w:tcW w:w="220" w:type="dxa"/>
            <w:vAlign w:val="bottom"/>
            <w:tcBorders>
              <w:bottom w:val="single" w:sz="8" w:color="CFF0FC"/>
            </w:tcBorders>
            <w:shd w:val="clear" w:color="auto" w:fill="CFF0FC"/>
          </w:tcPr>
          <w:p>
            <w:pPr>
              <w:spacing w:after="0"/>
              <w:rPr>
                <w:sz w:val="18"/>
                <w:szCs w:val="18"/>
                <w:color w:val="auto"/>
              </w:rPr>
            </w:pPr>
          </w:p>
        </w:tc>
        <w:tc>
          <w:tcPr>
            <w:tcW w:w="1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77,124</w:t>
            </w:r>
          </w:p>
        </w:tc>
        <w:tc>
          <w:tcPr>
            <w:tcW w:w="220" w:type="dxa"/>
            <w:vAlign w:val="bottom"/>
            <w:tcBorders>
              <w:bottom w:val="single" w:sz="8" w:color="CFF0FC"/>
            </w:tcBorders>
            <w:shd w:val="clear" w:color="auto" w:fill="CFF0FC"/>
          </w:tcPr>
          <w:p>
            <w:pPr>
              <w:spacing w:after="0"/>
              <w:rPr>
                <w:sz w:val="18"/>
                <w:szCs w:val="18"/>
                <w:color w:val="auto"/>
              </w:rPr>
            </w:pPr>
          </w:p>
        </w:tc>
        <w:tc>
          <w:tcPr>
            <w:tcW w:w="180" w:type="dxa"/>
            <w:vAlign w:val="bottom"/>
            <w:tcBorders>
              <w:bottom w:val="single" w:sz="8" w:color="auto"/>
            </w:tcBorders>
            <w:shd w:val="clear" w:color="auto" w:fill="CFF0FC"/>
          </w:tcPr>
          <w:p>
            <w:pPr>
              <w:spacing w:after="0"/>
              <w:rPr>
                <w:sz w:val="18"/>
                <w:szCs w:val="18"/>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69,571</w:t>
            </w:r>
          </w:p>
        </w:tc>
        <w:tc>
          <w:tcPr>
            <w:tcW w:w="100" w:type="dxa"/>
            <w:vAlign w:val="bottom"/>
            <w:tcBorders>
              <w:bottom w:val="single" w:sz="8" w:color="CFF0FC"/>
            </w:tcBorders>
            <w:shd w:val="clear" w:color="auto" w:fill="CFF0FC"/>
          </w:tcPr>
          <w:p>
            <w:pPr>
              <w:spacing w:after="0"/>
              <w:rPr>
                <w:sz w:val="18"/>
                <w:szCs w:val="18"/>
                <w:color w:val="auto"/>
              </w:rPr>
            </w:pPr>
          </w:p>
        </w:tc>
      </w:tr>
      <w:tr>
        <w:trPr>
          <w:trHeight w:val="209"/>
        </w:trPr>
        <w:tc>
          <w:tcPr>
            <w:tcW w:w="5860" w:type="dxa"/>
            <w:vAlign w:val="bottom"/>
          </w:tcPr>
          <w:p>
            <w:pPr>
              <w:ind w:left="240"/>
              <w:spacing w:after="0"/>
              <w:rPr>
                <w:sz w:val="20"/>
                <w:szCs w:val="20"/>
                <w:color w:val="auto"/>
              </w:rPr>
            </w:pPr>
            <w:r>
              <w:rPr>
                <w:rFonts w:ascii="Times New Roman" w:cs="Times New Roman" w:eastAsia="Times New Roman" w:hAnsi="Times New Roman"/>
                <w:sz w:val="18"/>
                <w:szCs w:val="18"/>
                <w:color w:val="auto"/>
              </w:rPr>
              <w:t>Non-GAAP loss from operations</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(997,085 )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(23,069 )</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(1,775,854 )</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(45,476 )</w:t>
            </w:r>
          </w:p>
        </w:tc>
      </w:tr>
      <w:tr>
        <w:trPr>
          <w:trHeight w:val="20"/>
        </w:trPr>
        <w:tc>
          <w:tcPr>
            <w:tcW w:w="586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1203"/>
        </w:trPr>
        <w:tc>
          <w:tcPr>
            <w:tcW w:w="58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9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4445635</wp:posOffset>
            </wp:positionH>
            <wp:positionV relativeFrom="paragraph">
              <wp:posOffset>-959485</wp:posOffset>
            </wp:positionV>
            <wp:extent cx="68580" cy="8255"/>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5320030</wp:posOffset>
            </wp:positionH>
            <wp:positionV relativeFrom="paragraph">
              <wp:posOffset>-959485</wp:posOffset>
            </wp:positionV>
            <wp:extent cx="68580" cy="825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6194425</wp:posOffset>
            </wp:positionH>
            <wp:positionV relativeFrom="paragraph">
              <wp:posOffset>-959485</wp:posOffset>
            </wp:positionV>
            <wp:extent cx="68580" cy="8255"/>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-959485</wp:posOffset>
            </wp:positionV>
            <wp:extent cx="68580" cy="825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5" w:name="page16"/>
    <w:bookmarkEnd w:id="15"/>
    <w:p>
      <w:pPr>
        <w:jc w:val="center"/>
        <w:spacing w:after="0" w:line="265" w:lineRule="auto"/>
        <w:rPr>
          <w:sz w:val="20"/>
          <w:szCs w:val="20"/>
          <w:color w:val="auto"/>
        </w:rPr>
      </w:pPr>
      <w:r>
        <w:rPr>
          <w:rFonts w:ascii="Times New Roman" w:cs="Times New Roman" w:eastAsia="Times New Roman" w:hAnsi="Times New Roman"/>
          <w:sz w:val="18"/>
          <w:szCs w:val="18"/>
          <w:b w:val="1"/>
          <w:bCs w:val="1"/>
          <w:color w:val="auto"/>
        </w:rPr>
        <w:t>MICROSTRATEGY INCORPORATED RECONCILIATION OF GAAP TO NON-GAAP MEASURES NET (LOSS) INCOME AND DILUTED (LOSS) EARNINGS PER SHARE (in thousands, except per share data)</w:t>
      </w:r>
    </w:p>
    <w:p>
      <w:pPr>
        <w:spacing w:after="0" w:line="379"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594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2520" w:type="dxa"/>
            <w:vAlign w:val="bottom"/>
            <w:gridSpan w:val="5"/>
          </w:tcPr>
          <w:p>
            <w:pPr>
              <w:jc w:val="right"/>
              <w:ind w:right="80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60" w:type="dxa"/>
            <w:vAlign w:val="bottom"/>
          </w:tcPr>
          <w:p>
            <w:pPr>
              <w:spacing w:after="0"/>
              <w:rPr>
                <w:sz w:val="13"/>
                <w:szCs w:val="13"/>
                <w:color w:val="auto"/>
              </w:rPr>
            </w:pPr>
          </w:p>
        </w:tc>
        <w:tc>
          <w:tcPr>
            <w:tcW w:w="2440" w:type="dxa"/>
            <w:vAlign w:val="bottom"/>
            <w:gridSpan w:val="5"/>
          </w:tcPr>
          <w:p>
            <w:pPr>
              <w:jc w:val="right"/>
              <w:ind w:right="660"/>
              <w:spacing w:after="0"/>
              <w:rPr>
                <w:sz w:val="20"/>
                <w:szCs w:val="20"/>
                <w:color w:val="auto"/>
              </w:rPr>
            </w:pPr>
            <w:r>
              <w:rPr>
                <w:rFonts w:ascii="Times New Roman" w:cs="Times New Roman" w:eastAsia="Times New Roman" w:hAnsi="Times New Roman"/>
                <w:sz w:val="14"/>
                <w:szCs w:val="14"/>
                <w:b w:val="1"/>
                <w:bCs w:val="1"/>
                <w:color w:val="auto"/>
              </w:rPr>
              <w:t>Twelve Months Ended</w:t>
            </w:r>
          </w:p>
        </w:tc>
      </w:tr>
      <w:tr>
        <w:trPr>
          <w:trHeight w:val="173"/>
        </w:trPr>
        <w:tc>
          <w:tcPr>
            <w:tcW w:w="59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2520" w:type="dxa"/>
            <w:vAlign w:val="bottom"/>
            <w:gridSpan w:val="5"/>
          </w:tcPr>
          <w:p>
            <w:pPr>
              <w:jc w:val="right"/>
              <w:ind w:right="104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160" w:type="dxa"/>
            <w:vAlign w:val="bottom"/>
          </w:tcPr>
          <w:p>
            <w:pPr>
              <w:spacing w:after="0"/>
              <w:rPr>
                <w:sz w:val="15"/>
                <w:szCs w:val="15"/>
                <w:color w:val="auto"/>
              </w:rPr>
            </w:pPr>
          </w:p>
        </w:tc>
        <w:tc>
          <w:tcPr>
            <w:tcW w:w="2440" w:type="dxa"/>
            <w:vAlign w:val="bottom"/>
            <w:gridSpan w:val="5"/>
          </w:tcPr>
          <w:p>
            <w:pPr>
              <w:jc w:val="right"/>
              <w:ind w:right="94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42"/>
        </w:trPr>
        <w:tc>
          <w:tcPr>
            <w:tcW w:w="5940" w:type="dxa"/>
            <w:vAlign w:val="bottom"/>
          </w:tcPr>
          <w:p>
            <w:pPr>
              <w:spacing w:after="0"/>
              <w:rPr>
                <w:sz w:val="12"/>
                <w:szCs w:val="12"/>
                <w:color w:val="auto"/>
              </w:rPr>
            </w:pPr>
          </w:p>
        </w:tc>
        <w:tc>
          <w:tcPr>
            <w:tcW w:w="180" w:type="dxa"/>
            <w:vAlign w:val="bottom"/>
            <w:tcBorders>
              <w:top w:val="single" w:sz="8" w:color="auto"/>
              <w:bottom w:val="single" w:sz="8" w:color="auto"/>
            </w:tcBorders>
          </w:tcPr>
          <w:p>
            <w:pPr>
              <w:spacing w:after="0"/>
              <w:rPr>
                <w:sz w:val="12"/>
                <w:szCs w:val="12"/>
                <w:color w:val="auto"/>
              </w:rPr>
            </w:pPr>
          </w:p>
        </w:tc>
        <w:tc>
          <w:tcPr>
            <w:tcW w:w="940" w:type="dxa"/>
            <w:vAlign w:val="bottom"/>
            <w:tcBorders>
              <w:top w:val="single" w:sz="8" w:color="auto"/>
              <w:bottom w:val="single" w:sz="8" w:color="auto"/>
            </w:tcBorders>
          </w:tcPr>
          <w:p>
            <w:pPr>
              <w:jc w:val="right"/>
              <w:ind w:right="315"/>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Borders>
              <w:top w:val="single" w:sz="8" w:color="auto"/>
            </w:tcBorders>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960" w:type="dxa"/>
            <w:vAlign w:val="bottom"/>
            <w:tcBorders>
              <w:top w:val="single" w:sz="8" w:color="auto"/>
              <w:bottom w:val="single" w:sz="8" w:color="auto"/>
            </w:tcBorders>
          </w:tcPr>
          <w:p>
            <w:pPr>
              <w:jc w:val="right"/>
              <w:ind w:right="333"/>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880" w:type="dxa"/>
            <w:vAlign w:val="bottom"/>
            <w:tcBorders>
              <w:top w:val="single" w:sz="8" w:color="auto"/>
              <w:bottom w:val="single" w:sz="8" w:color="auto"/>
            </w:tcBorders>
          </w:tcPr>
          <w:p>
            <w:pPr>
              <w:jc w:val="right"/>
              <w:ind w:right="295"/>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300" w:type="dxa"/>
            <w:vAlign w:val="bottom"/>
            <w:tcBorders>
              <w:top w:val="single" w:sz="8" w:color="auto"/>
            </w:tcBorders>
          </w:tcPr>
          <w:p>
            <w:pPr>
              <w:spacing w:after="0"/>
              <w:rPr>
                <w:sz w:val="12"/>
                <w:szCs w:val="12"/>
                <w:color w:val="auto"/>
              </w:rPr>
            </w:pPr>
          </w:p>
        </w:tc>
        <w:tc>
          <w:tcPr>
            <w:tcW w:w="160" w:type="dxa"/>
            <w:vAlign w:val="bottom"/>
            <w:tcBorders>
              <w:top w:val="single" w:sz="8" w:color="auto"/>
              <w:bottom w:val="single" w:sz="8" w:color="auto"/>
            </w:tcBorders>
          </w:tcPr>
          <w:p>
            <w:pPr>
              <w:spacing w:after="0"/>
              <w:rPr>
                <w:sz w:val="12"/>
                <w:szCs w:val="12"/>
                <w:color w:val="auto"/>
              </w:rPr>
            </w:pPr>
          </w:p>
        </w:tc>
        <w:tc>
          <w:tcPr>
            <w:tcW w:w="980" w:type="dxa"/>
            <w:vAlign w:val="bottom"/>
            <w:tcBorders>
              <w:top w:val="single" w:sz="8" w:color="auto"/>
              <w:bottom w:val="single" w:sz="8" w:color="auto"/>
            </w:tcBorders>
          </w:tcPr>
          <w:p>
            <w:pPr>
              <w:jc w:val="right"/>
              <w:ind w:right="353"/>
              <w:spacing w:after="0" w:line="142" w:lineRule="exact"/>
              <w:rPr>
                <w:sz w:val="20"/>
                <w:szCs w:val="20"/>
                <w:color w:val="auto"/>
              </w:rPr>
            </w:pPr>
            <w:r>
              <w:rPr>
                <w:rFonts w:ascii="Times New Roman" w:cs="Times New Roman" w:eastAsia="Times New Roman" w:hAnsi="Times New Roman"/>
                <w:sz w:val="14"/>
                <w:szCs w:val="14"/>
                <w:b w:val="1"/>
                <w:bCs w:val="1"/>
                <w:color w:val="auto"/>
              </w:rPr>
              <w:t>2023</w:t>
            </w:r>
          </w:p>
        </w:tc>
        <w:tc>
          <w:tcPr>
            <w:tcW w:w="120" w:type="dxa"/>
            <w:vAlign w:val="bottom"/>
          </w:tcPr>
          <w:p>
            <w:pPr>
              <w:spacing w:after="0"/>
              <w:rPr>
                <w:sz w:val="12"/>
                <w:szCs w:val="12"/>
                <w:color w:val="auto"/>
              </w:rPr>
            </w:pPr>
          </w:p>
        </w:tc>
      </w:tr>
      <w:tr>
        <w:trPr>
          <w:trHeight w:val="142"/>
        </w:trPr>
        <w:tc>
          <w:tcPr>
            <w:tcW w:w="59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940" w:type="dxa"/>
            <w:vAlign w:val="bottom"/>
          </w:tcPr>
          <w:p>
            <w:pPr>
              <w:jc w:val="right"/>
              <w:ind w:right="135"/>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960" w:type="dxa"/>
            <w:vAlign w:val="bottom"/>
          </w:tcPr>
          <w:p>
            <w:pPr>
              <w:jc w:val="right"/>
              <w:ind w:right="153"/>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880" w:type="dxa"/>
            <w:vAlign w:val="bottom"/>
          </w:tcPr>
          <w:p>
            <w:pPr>
              <w:jc w:val="right"/>
              <w:ind w:right="95"/>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3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980" w:type="dxa"/>
            <w:vAlign w:val="bottom"/>
          </w:tcPr>
          <w:p>
            <w:pPr>
              <w:jc w:val="right"/>
              <w:ind w:right="153"/>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120" w:type="dxa"/>
            <w:vAlign w:val="bottom"/>
          </w:tcPr>
          <w:p>
            <w:pPr>
              <w:spacing w:after="0"/>
              <w:rPr>
                <w:sz w:val="12"/>
                <w:szCs w:val="12"/>
                <w:color w:val="auto"/>
              </w:rPr>
            </w:pPr>
          </w:p>
        </w:tc>
      </w:tr>
      <w:tr>
        <w:trPr>
          <w:trHeight w:val="216"/>
        </w:trPr>
        <w:tc>
          <w:tcPr>
            <w:tcW w:w="5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net (loss) income:</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r>
      <w:tr>
        <w:trPr>
          <w:trHeight w:val="216"/>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Net (loss) income</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(670,810 )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89,126</w:t>
            </w:r>
          </w:p>
        </w:tc>
        <w:tc>
          <w:tcPr>
            <w:tcW w:w="22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(1,166,661 )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429,121</w:t>
            </w:r>
          </w:p>
        </w:tc>
        <w:tc>
          <w:tcPr>
            <w:tcW w:w="120" w:type="dxa"/>
            <w:vAlign w:val="bottom"/>
          </w:tcPr>
          <w:p>
            <w:pPr>
              <w:spacing w:after="0"/>
              <w:rPr>
                <w:sz w:val="18"/>
                <w:szCs w:val="18"/>
                <w:color w:val="auto"/>
              </w:rPr>
            </w:pPr>
          </w:p>
        </w:tc>
      </w:tr>
      <w:tr>
        <w:trPr>
          <w:trHeight w:val="216"/>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19,335</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19,716</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77,124</w:t>
            </w:r>
          </w:p>
        </w:tc>
        <w:tc>
          <w:tcPr>
            <w:tcW w:w="3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69,571</w:t>
            </w:r>
          </w:p>
        </w:tc>
        <w:tc>
          <w:tcPr>
            <w:tcW w:w="120" w:type="dxa"/>
            <w:vAlign w:val="bottom"/>
            <w:shd w:val="clear" w:color="auto" w:fill="CFF0FC"/>
          </w:tcPr>
          <w:p>
            <w:pPr>
              <w:spacing w:after="0"/>
              <w:rPr>
                <w:sz w:val="18"/>
                <w:szCs w:val="18"/>
                <w:color w:val="auto"/>
              </w:rPr>
            </w:pPr>
          </w:p>
        </w:tc>
      </w:tr>
      <w:tr>
        <w:trPr>
          <w:trHeight w:val="216"/>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Interest expense arising from amortization of debt issuance costs</w:t>
            </w:r>
          </w:p>
        </w:tc>
        <w:tc>
          <w:tcPr>
            <w:tcW w:w="180" w:type="dxa"/>
            <w:vAlign w:val="bottom"/>
          </w:tcPr>
          <w:p>
            <w:pPr>
              <w:spacing w:after="0"/>
              <w:rPr>
                <w:sz w:val="18"/>
                <w:szCs w:val="18"/>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5,105</w:t>
            </w:r>
          </w:p>
        </w:tc>
        <w:tc>
          <w:tcPr>
            <w:tcW w:w="2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2,209</w:t>
            </w:r>
          </w:p>
        </w:tc>
        <w:tc>
          <w:tcPr>
            <w:tcW w:w="22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15,336</w:t>
            </w:r>
          </w:p>
        </w:tc>
        <w:tc>
          <w:tcPr>
            <w:tcW w:w="3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8,808</w:t>
            </w:r>
          </w:p>
        </w:tc>
        <w:tc>
          <w:tcPr>
            <w:tcW w:w="120" w:type="dxa"/>
            <w:vAlign w:val="bottom"/>
          </w:tcPr>
          <w:p>
            <w:pPr>
              <w:spacing w:after="0"/>
              <w:rPr>
                <w:sz w:val="18"/>
                <w:szCs w:val="18"/>
                <w:color w:val="auto"/>
              </w:rPr>
            </w:pPr>
          </w:p>
        </w:tc>
      </w:tr>
      <w:tr>
        <w:trPr>
          <w:trHeight w:val="216"/>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Loss (gain) on debt extinguishment</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22,933</w:t>
            </w:r>
          </w:p>
        </w:tc>
        <w:tc>
          <w:tcPr>
            <w:tcW w:w="3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1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(44,686 )</w:t>
            </w:r>
          </w:p>
        </w:tc>
      </w:tr>
      <w:tr>
        <w:trPr>
          <w:trHeight w:val="216"/>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Income tax effects (1)</w:t>
            </w:r>
          </w:p>
        </w:tc>
        <w:tc>
          <w:tcPr>
            <w:tcW w:w="180" w:type="dxa"/>
            <w:vAlign w:val="bottom"/>
          </w:tcPr>
          <w:p>
            <w:pPr>
              <w:spacing w:after="0"/>
              <w:rPr>
                <w:sz w:val="18"/>
                <w:szCs w:val="18"/>
                <w:color w:val="auto"/>
              </w:rPr>
            </w:pPr>
          </w:p>
        </w:tc>
        <w:tc>
          <w:tcPr>
            <w:tcW w:w="11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(62,138 )</w:t>
            </w:r>
          </w:p>
        </w:tc>
        <w:tc>
          <w:tcPr>
            <w:tcW w:w="160" w:type="dxa"/>
            <w:vAlign w:val="bottom"/>
          </w:tcPr>
          <w:p>
            <w:pPr>
              <w:spacing w:after="0"/>
              <w:rPr>
                <w:sz w:val="18"/>
                <w:szCs w:val="18"/>
                <w:color w:val="auto"/>
              </w:rPr>
            </w:pPr>
          </w:p>
        </w:tc>
        <w:tc>
          <w:tcPr>
            <w:tcW w:w="11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(8,600 )</w:t>
            </w:r>
          </w:p>
        </w:tc>
        <w:tc>
          <w:tcPr>
            <w:tcW w:w="160" w:type="dxa"/>
            <w:vAlign w:val="bottom"/>
          </w:tcPr>
          <w:p>
            <w:pPr>
              <w:spacing w:after="0"/>
              <w:rPr>
                <w:sz w:val="18"/>
                <w:szCs w:val="18"/>
                <w:color w:val="auto"/>
              </w:rPr>
            </w:pP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(243,102 )</w:t>
            </w:r>
          </w:p>
        </w:tc>
        <w:tc>
          <w:tcPr>
            <w:tcW w:w="160" w:type="dxa"/>
            <w:vAlign w:val="bottom"/>
          </w:tcPr>
          <w:p>
            <w:pPr>
              <w:spacing w:after="0"/>
              <w:rPr>
                <w:sz w:val="18"/>
                <w:szCs w:val="18"/>
                <w:color w:val="auto"/>
              </w:rPr>
            </w:pPr>
          </w:p>
        </w:tc>
        <w:tc>
          <w:tcPr>
            <w:tcW w:w="11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(6,062 )</w:t>
            </w:r>
          </w:p>
        </w:tc>
      </w:tr>
      <w:tr>
        <w:trPr>
          <w:trHeight w:val="20"/>
        </w:trPr>
        <w:tc>
          <w:tcPr>
            <w:tcW w:w="594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880" w:type="dxa"/>
            <w:vAlign w:val="bottom"/>
            <w:shd w:val="clear" w:color="auto" w:fill="000000"/>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r>
        <w:trPr>
          <w:trHeight w:val="250"/>
        </w:trPr>
        <w:tc>
          <w:tcPr>
            <w:tcW w:w="5940" w:type="dxa"/>
            <w:vAlign w:val="bottom"/>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Non-GAAP net (loss) income</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(708,508 )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102,451</w:t>
            </w:r>
          </w:p>
        </w:tc>
        <w:tc>
          <w:tcPr>
            <w:tcW w:w="220" w:type="dxa"/>
            <w:vAlign w:val="bottom"/>
            <w:shd w:val="clear" w:color="auto" w:fill="CFF0FC"/>
          </w:tcPr>
          <w:p>
            <w:pPr>
              <w:spacing w:after="0"/>
              <w:rPr>
                <w:sz w:val="21"/>
                <w:szCs w:val="21"/>
                <w:color w:val="auto"/>
              </w:rPr>
            </w:pP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(1,294,370 )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456,752</w:t>
            </w:r>
          </w:p>
        </w:tc>
        <w:tc>
          <w:tcPr>
            <w:tcW w:w="120" w:type="dxa"/>
            <w:vAlign w:val="bottom"/>
            <w:shd w:val="clear" w:color="auto" w:fill="CFF0FC"/>
          </w:tcPr>
          <w:p>
            <w:pPr>
              <w:spacing w:after="0"/>
              <w:rPr>
                <w:sz w:val="21"/>
                <w:szCs w:val="21"/>
                <w:color w:val="auto"/>
              </w:rPr>
            </w:pPr>
          </w:p>
        </w:tc>
      </w:tr>
      <w:tr>
        <w:trPr>
          <w:trHeight w:val="197"/>
        </w:trPr>
        <w:tc>
          <w:tcPr>
            <w:tcW w:w="5940" w:type="dxa"/>
            <w:vAlign w:val="bottom"/>
            <w:tcBorders>
              <w:top w:val="single" w:sz="8" w:color="CFF0FC"/>
            </w:tcBorders>
          </w:tcPr>
          <w:p>
            <w:pPr>
              <w:spacing w:after="0"/>
              <w:rPr>
                <w:sz w:val="17"/>
                <w:szCs w:val="17"/>
                <w:color w:val="auto"/>
              </w:rPr>
            </w:pPr>
          </w:p>
        </w:tc>
        <w:tc>
          <w:tcPr>
            <w:tcW w:w="180" w:type="dxa"/>
            <w:vAlign w:val="bottom"/>
            <w:tcBorders>
              <w:top w:val="single" w:sz="8" w:color="auto"/>
            </w:tcBorders>
          </w:tcPr>
          <w:p>
            <w:pPr>
              <w:spacing w:after="0"/>
              <w:rPr>
                <w:sz w:val="17"/>
                <w:szCs w:val="17"/>
                <w:color w:val="auto"/>
              </w:rPr>
            </w:pPr>
          </w:p>
        </w:tc>
        <w:tc>
          <w:tcPr>
            <w:tcW w:w="940" w:type="dxa"/>
            <w:vAlign w:val="bottom"/>
            <w:tcBorders>
              <w:top w:val="single" w:sz="8" w:color="auto"/>
            </w:tcBorders>
          </w:tcPr>
          <w:p>
            <w:pPr>
              <w:spacing w:after="0"/>
              <w:rPr>
                <w:sz w:val="17"/>
                <w:szCs w:val="17"/>
                <w:color w:val="auto"/>
              </w:rPr>
            </w:pPr>
          </w:p>
        </w:tc>
        <w:tc>
          <w:tcPr>
            <w:tcW w:w="240" w:type="dxa"/>
            <w:vAlign w:val="bottom"/>
            <w:tcBorders>
              <w:top w:val="single" w:sz="8" w:color="CFF0FC"/>
            </w:tcBorders>
          </w:tcPr>
          <w:p>
            <w:pPr>
              <w:spacing w:after="0"/>
              <w:rPr>
                <w:sz w:val="17"/>
                <w:szCs w:val="17"/>
                <w:color w:val="auto"/>
              </w:rPr>
            </w:pPr>
          </w:p>
        </w:tc>
        <w:tc>
          <w:tcPr>
            <w:tcW w:w="160" w:type="dxa"/>
            <w:vAlign w:val="bottom"/>
            <w:tcBorders>
              <w:top w:val="single" w:sz="8" w:color="auto"/>
            </w:tcBorders>
          </w:tcPr>
          <w:p>
            <w:pPr>
              <w:spacing w:after="0"/>
              <w:rPr>
                <w:sz w:val="17"/>
                <w:szCs w:val="17"/>
                <w:color w:val="auto"/>
              </w:rPr>
            </w:pPr>
          </w:p>
        </w:tc>
        <w:tc>
          <w:tcPr>
            <w:tcW w:w="960" w:type="dxa"/>
            <w:vAlign w:val="bottom"/>
            <w:tcBorders>
              <w:top w:val="single" w:sz="8" w:color="auto"/>
            </w:tcBorders>
          </w:tcPr>
          <w:p>
            <w:pPr>
              <w:spacing w:after="0"/>
              <w:rPr>
                <w:sz w:val="17"/>
                <w:szCs w:val="17"/>
                <w:color w:val="auto"/>
              </w:rPr>
            </w:pPr>
          </w:p>
        </w:tc>
        <w:tc>
          <w:tcPr>
            <w:tcW w:w="220" w:type="dxa"/>
            <w:vAlign w:val="bottom"/>
            <w:tcBorders>
              <w:top w:val="single" w:sz="8" w:color="CFF0FC"/>
            </w:tcBorders>
          </w:tcPr>
          <w:p>
            <w:pPr>
              <w:spacing w:after="0"/>
              <w:rPr>
                <w:sz w:val="17"/>
                <w:szCs w:val="17"/>
                <w:color w:val="auto"/>
              </w:rPr>
            </w:pPr>
          </w:p>
        </w:tc>
        <w:tc>
          <w:tcPr>
            <w:tcW w:w="160" w:type="dxa"/>
            <w:vAlign w:val="bottom"/>
            <w:tcBorders>
              <w:top w:val="single" w:sz="8" w:color="auto"/>
            </w:tcBorders>
          </w:tcPr>
          <w:p>
            <w:pPr>
              <w:spacing w:after="0"/>
              <w:rPr>
                <w:sz w:val="17"/>
                <w:szCs w:val="17"/>
                <w:color w:val="auto"/>
              </w:rPr>
            </w:pPr>
          </w:p>
        </w:tc>
        <w:tc>
          <w:tcPr>
            <w:tcW w:w="880" w:type="dxa"/>
            <w:vAlign w:val="bottom"/>
            <w:tcBorders>
              <w:top w:val="single" w:sz="8" w:color="auto"/>
            </w:tcBorders>
          </w:tcPr>
          <w:p>
            <w:pPr>
              <w:spacing w:after="0"/>
              <w:rPr>
                <w:sz w:val="17"/>
                <w:szCs w:val="17"/>
                <w:color w:val="auto"/>
              </w:rPr>
            </w:pPr>
          </w:p>
        </w:tc>
        <w:tc>
          <w:tcPr>
            <w:tcW w:w="300" w:type="dxa"/>
            <w:vAlign w:val="bottom"/>
            <w:tcBorders>
              <w:top w:val="single" w:sz="8" w:color="CFF0FC"/>
            </w:tcBorders>
          </w:tcPr>
          <w:p>
            <w:pPr>
              <w:spacing w:after="0"/>
              <w:rPr>
                <w:sz w:val="17"/>
                <w:szCs w:val="17"/>
                <w:color w:val="auto"/>
              </w:rPr>
            </w:pPr>
          </w:p>
        </w:tc>
        <w:tc>
          <w:tcPr>
            <w:tcW w:w="160" w:type="dxa"/>
            <w:vAlign w:val="bottom"/>
            <w:tcBorders>
              <w:top w:val="single" w:sz="8" w:color="auto"/>
            </w:tcBorders>
          </w:tcPr>
          <w:p>
            <w:pPr>
              <w:spacing w:after="0"/>
              <w:rPr>
                <w:sz w:val="17"/>
                <w:szCs w:val="17"/>
                <w:color w:val="auto"/>
              </w:rPr>
            </w:pPr>
          </w:p>
        </w:tc>
        <w:tc>
          <w:tcPr>
            <w:tcW w:w="980" w:type="dxa"/>
            <w:vAlign w:val="bottom"/>
            <w:tcBorders>
              <w:top w:val="single" w:sz="8" w:color="auto"/>
            </w:tcBorders>
          </w:tcPr>
          <w:p>
            <w:pPr>
              <w:spacing w:after="0"/>
              <w:rPr>
                <w:sz w:val="17"/>
                <w:szCs w:val="17"/>
                <w:color w:val="auto"/>
              </w:rPr>
            </w:pPr>
          </w:p>
        </w:tc>
        <w:tc>
          <w:tcPr>
            <w:tcW w:w="120" w:type="dxa"/>
            <w:vAlign w:val="bottom"/>
            <w:tcBorders>
              <w:top w:val="single" w:sz="8" w:color="CFF0FC"/>
            </w:tcBorders>
          </w:tcPr>
          <w:p>
            <w:pPr>
              <w:spacing w:after="0"/>
              <w:rPr>
                <w:sz w:val="17"/>
                <w:szCs w:val="17"/>
                <w:color w:val="auto"/>
              </w:rPr>
            </w:pPr>
          </w:p>
        </w:tc>
      </w:tr>
      <w:tr>
        <w:trPr>
          <w:trHeight w:val="216"/>
        </w:trPr>
        <w:tc>
          <w:tcPr>
            <w:tcW w:w="5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diluted (loss) earnings per share (2):</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8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r>
      <w:tr>
        <w:trPr>
          <w:trHeight w:val="216"/>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Diluted (loss) earnings per share</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(3.03 )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0.50</w:t>
            </w:r>
          </w:p>
        </w:tc>
        <w:tc>
          <w:tcPr>
            <w:tcW w:w="220" w:type="dxa"/>
            <w:vAlign w:val="bottom"/>
          </w:tcPr>
          <w:p>
            <w:pPr>
              <w:spacing w:after="0"/>
              <w:rPr>
                <w:sz w:val="18"/>
                <w:szCs w:val="18"/>
                <w:color w:val="auto"/>
              </w:rPr>
            </w:pP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(6.06 )</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2.64</w:t>
            </w:r>
          </w:p>
        </w:tc>
        <w:tc>
          <w:tcPr>
            <w:tcW w:w="120" w:type="dxa"/>
            <w:vAlign w:val="bottom"/>
          </w:tcPr>
          <w:p>
            <w:pPr>
              <w:spacing w:after="0"/>
              <w:rPr>
                <w:sz w:val="18"/>
                <w:szCs w:val="18"/>
                <w:color w:val="auto"/>
              </w:rPr>
            </w:pPr>
          </w:p>
        </w:tc>
      </w:tr>
      <w:tr>
        <w:trPr>
          <w:trHeight w:val="216"/>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Share-based compensation expense (per diluted share)</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0.09</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0.11</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0.40</w:t>
            </w:r>
          </w:p>
        </w:tc>
        <w:tc>
          <w:tcPr>
            <w:tcW w:w="3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0.42</w:t>
            </w:r>
          </w:p>
        </w:tc>
        <w:tc>
          <w:tcPr>
            <w:tcW w:w="120" w:type="dxa"/>
            <w:vAlign w:val="bottom"/>
            <w:shd w:val="clear" w:color="auto" w:fill="CFF0FC"/>
          </w:tcPr>
          <w:p>
            <w:pPr>
              <w:spacing w:after="0"/>
              <w:rPr>
                <w:sz w:val="18"/>
                <w:szCs w:val="18"/>
                <w:color w:val="auto"/>
              </w:rPr>
            </w:pPr>
          </w:p>
        </w:tc>
      </w:tr>
      <w:tr>
        <w:trPr>
          <w:trHeight w:val="198"/>
        </w:trPr>
        <w:tc>
          <w:tcPr>
            <w:tcW w:w="5940" w:type="dxa"/>
            <w:vAlign w:val="bottom"/>
          </w:tcPr>
          <w:p>
            <w:pPr>
              <w:ind w:left="120"/>
              <w:spacing w:after="0" w:line="198" w:lineRule="exact"/>
              <w:rPr>
                <w:sz w:val="20"/>
                <w:szCs w:val="20"/>
                <w:color w:val="auto"/>
              </w:rPr>
            </w:pPr>
            <w:r>
              <w:rPr>
                <w:rFonts w:ascii="Times New Roman" w:cs="Times New Roman" w:eastAsia="Times New Roman" w:hAnsi="Times New Roman"/>
                <w:sz w:val="18"/>
                <w:szCs w:val="18"/>
                <w:color w:val="auto"/>
              </w:rPr>
              <w:t>Interest expense arising from amortization of debt issuance costs (per diluted</w:t>
            </w:r>
          </w:p>
        </w:tc>
        <w:tc>
          <w:tcPr>
            <w:tcW w:w="180" w:type="dxa"/>
            <w:vAlign w:val="bottom"/>
          </w:tcPr>
          <w:p>
            <w:pPr>
              <w:spacing w:after="0"/>
              <w:rPr>
                <w:sz w:val="17"/>
                <w:szCs w:val="17"/>
                <w:color w:val="auto"/>
              </w:rPr>
            </w:pPr>
          </w:p>
        </w:tc>
        <w:tc>
          <w:tcPr>
            <w:tcW w:w="940" w:type="dxa"/>
            <w:vAlign w:val="bottom"/>
          </w:tcPr>
          <w:p>
            <w:pPr>
              <w:spacing w:after="0"/>
              <w:rPr>
                <w:sz w:val="17"/>
                <w:szCs w:val="17"/>
                <w:color w:val="auto"/>
              </w:rPr>
            </w:pPr>
          </w:p>
        </w:tc>
        <w:tc>
          <w:tcPr>
            <w:tcW w:w="24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22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880" w:type="dxa"/>
            <w:vAlign w:val="bottom"/>
          </w:tcPr>
          <w:p>
            <w:pPr>
              <w:spacing w:after="0"/>
              <w:rPr>
                <w:sz w:val="17"/>
                <w:szCs w:val="17"/>
                <w:color w:val="auto"/>
              </w:rPr>
            </w:pPr>
          </w:p>
        </w:tc>
        <w:tc>
          <w:tcPr>
            <w:tcW w:w="30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980" w:type="dxa"/>
            <w:vAlign w:val="bottom"/>
          </w:tcPr>
          <w:p>
            <w:pPr>
              <w:spacing w:after="0"/>
              <w:rPr>
                <w:sz w:val="17"/>
                <w:szCs w:val="17"/>
                <w:color w:val="auto"/>
              </w:rPr>
            </w:pPr>
          </w:p>
        </w:tc>
        <w:tc>
          <w:tcPr>
            <w:tcW w:w="120" w:type="dxa"/>
            <w:vAlign w:val="bottom"/>
          </w:tcPr>
          <w:p>
            <w:pPr>
              <w:spacing w:after="0"/>
              <w:rPr>
                <w:sz w:val="17"/>
                <w:szCs w:val="17"/>
                <w:color w:val="auto"/>
              </w:rPr>
            </w:pPr>
          </w:p>
        </w:tc>
      </w:tr>
      <w:tr>
        <w:trPr>
          <w:trHeight w:val="234"/>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share) (3)</w:t>
            </w:r>
          </w:p>
        </w:tc>
        <w:tc>
          <w:tcPr>
            <w:tcW w:w="18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0.02</w:t>
            </w:r>
          </w:p>
        </w:tc>
        <w:tc>
          <w:tcPr>
            <w:tcW w:w="24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0.00</w:t>
            </w:r>
          </w:p>
        </w:tc>
        <w:tc>
          <w:tcPr>
            <w:tcW w:w="22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0.08</w:t>
            </w:r>
          </w:p>
        </w:tc>
        <w:tc>
          <w:tcPr>
            <w:tcW w:w="30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0.01</w:t>
            </w:r>
          </w:p>
        </w:tc>
        <w:tc>
          <w:tcPr>
            <w:tcW w:w="120" w:type="dxa"/>
            <w:vAlign w:val="bottom"/>
          </w:tcPr>
          <w:p>
            <w:pPr>
              <w:spacing w:after="0"/>
              <w:rPr>
                <w:sz w:val="20"/>
                <w:szCs w:val="20"/>
                <w:color w:val="auto"/>
              </w:rPr>
            </w:pPr>
          </w:p>
        </w:tc>
      </w:tr>
      <w:tr>
        <w:trPr>
          <w:trHeight w:val="216"/>
        </w:trPr>
        <w:tc>
          <w:tcPr>
            <w:tcW w:w="5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Loss (gain) on debt extinguishment (per diluted share)</w:t>
            </w:r>
          </w:p>
        </w:tc>
        <w:tc>
          <w:tcPr>
            <w:tcW w:w="180" w:type="dxa"/>
            <w:vAlign w:val="bottom"/>
            <w:shd w:val="clear" w:color="auto" w:fill="CFF0FC"/>
          </w:tcPr>
          <w:p>
            <w:pPr>
              <w:spacing w:after="0"/>
              <w:rPr>
                <w:sz w:val="18"/>
                <w:szCs w:val="18"/>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0.00</w:t>
            </w:r>
          </w:p>
        </w:tc>
        <w:tc>
          <w:tcPr>
            <w:tcW w:w="24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0.00</w:t>
            </w:r>
          </w:p>
        </w:tc>
        <w:tc>
          <w:tcPr>
            <w:tcW w:w="22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0.12</w:t>
            </w:r>
          </w:p>
        </w:tc>
        <w:tc>
          <w:tcPr>
            <w:tcW w:w="3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1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(0.27 )</w:t>
            </w:r>
          </w:p>
        </w:tc>
      </w:tr>
      <w:tr>
        <w:trPr>
          <w:trHeight w:val="216"/>
        </w:trPr>
        <w:tc>
          <w:tcPr>
            <w:tcW w:w="5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Income tax effects (per diluted share) (3)</w:t>
            </w:r>
          </w:p>
        </w:tc>
        <w:tc>
          <w:tcPr>
            <w:tcW w:w="180" w:type="dxa"/>
            <w:vAlign w:val="bottom"/>
          </w:tcPr>
          <w:p>
            <w:pPr>
              <w:spacing w:after="0"/>
              <w:rPr>
                <w:sz w:val="18"/>
                <w:szCs w:val="18"/>
                <w:color w:val="auto"/>
              </w:rPr>
            </w:pPr>
          </w:p>
        </w:tc>
        <w:tc>
          <w:tcPr>
            <w:tcW w:w="11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(0.28 )</w:t>
            </w:r>
          </w:p>
        </w:tc>
        <w:tc>
          <w:tcPr>
            <w:tcW w:w="160" w:type="dxa"/>
            <w:vAlign w:val="bottom"/>
          </w:tcPr>
          <w:p>
            <w:pPr>
              <w:spacing w:after="0"/>
              <w:rPr>
                <w:sz w:val="18"/>
                <w:szCs w:val="18"/>
                <w:color w:val="auto"/>
              </w:rPr>
            </w:pPr>
          </w:p>
        </w:tc>
        <w:tc>
          <w:tcPr>
            <w:tcW w:w="11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(0.05 )</w:t>
            </w:r>
          </w:p>
        </w:tc>
        <w:tc>
          <w:tcPr>
            <w:tcW w:w="160" w:type="dxa"/>
            <w:vAlign w:val="bottom"/>
          </w:tcPr>
          <w:p>
            <w:pPr>
              <w:spacing w:after="0"/>
              <w:rPr>
                <w:sz w:val="18"/>
                <w:szCs w:val="18"/>
                <w:color w:val="auto"/>
              </w:rPr>
            </w:pPr>
          </w:p>
        </w:tc>
        <w:tc>
          <w:tcPr>
            <w:tcW w:w="11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(1.26 )</w:t>
            </w:r>
          </w:p>
        </w:tc>
        <w:tc>
          <w:tcPr>
            <w:tcW w:w="160" w:type="dxa"/>
            <w:vAlign w:val="bottom"/>
          </w:tcPr>
          <w:p>
            <w:pPr>
              <w:spacing w:after="0"/>
              <w:rPr>
                <w:sz w:val="18"/>
                <w:szCs w:val="18"/>
                <w:color w:val="auto"/>
              </w:rPr>
            </w:pPr>
          </w:p>
        </w:tc>
        <w:tc>
          <w:tcPr>
            <w:tcW w:w="11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(0.02 )</w:t>
            </w:r>
          </w:p>
        </w:tc>
      </w:tr>
      <w:tr>
        <w:trPr>
          <w:trHeight w:val="20"/>
        </w:trPr>
        <w:tc>
          <w:tcPr>
            <w:tcW w:w="594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6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880" w:type="dxa"/>
            <w:vAlign w:val="bottom"/>
            <w:shd w:val="clear" w:color="auto" w:fill="000000"/>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r>
      <w:tr>
        <w:trPr>
          <w:trHeight w:val="229"/>
        </w:trPr>
        <w:tc>
          <w:tcPr>
            <w:tcW w:w="5940" w:type="dxa"/>
            <w:vAlign w:val="bottom"/>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Non-GAAP diluted (loss) earnings per share</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(3.20 )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0.56</w:t>
            </w:r>
          </w:p>
        </w:tc>
        <w:tc>
          <w:tcPr>
            <w:tcW w:w="220" w:type="dxa"/>
            <w:vAlign w:val="bottom"/>
            <w:shd w:val="clear" w:color="auto" w:fill="CFF0FC"/>
          </w:tcPr>
          <w:p>
            <w:pPr>
              <w:spacing w:after="0"/>
              <w:rPr>
                <w:sz w:val="19"/>
                <w:szCs w:val="19"/>
                <w:color w:val="auto"/>
              </w:rPr>
            </w:pP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(6.72 )</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2.78</w:t>
            </w:r>
          </w:p>
        </w:tc>
        <w:tc>
          <w:tcPr>
            <w:tcW w:w="120" w:type="dxa"/>
            <w:vAlign w:val="bottom"/>
            <w:shd w:val="clear" w:color="auto" w:fill="CFF0FC"/>
          </w:tcPr>
          <w:p>
            <w:pPr>
              <w:spacing w:after="0"/>
              <w:rPr>
                <w:sz w:val="19"/>
                <w:szCs w:val="19"/>
                <w:color w:val="auto"/>
              </w:rPr>
            </w:pPr>
          </w:p>
        </w:tc>
      </w:tr>
      <w:tr>
        <w:trPr>
          <w:trHeight w:val="20"/>
        </w:trPr>
        <w:tc>
          <w:tcPr>
            <w:tcW w:w="5940" w:type="dxa"/>
            <w:vAlign w:val="bottom"/>
            <w:tcBorders>
              <w:top w:val="single" w:sz="8" w:color="CFF0FC"/>
            </w:tcBorders>
            <w:shd w:val="clear" w:color="auto" w:fill="CFF0FC"/>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94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96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880" w:type="dxa"/>
            <w:vAlign w:val="bottom"/>
            <w:tcBorders>
              <w:top w:val="single" w:sz="8" w:color="auto"/>
            </w:tcBorders>
            <w:shd w:val="clear" w:color="auto" w:fill="000000"/>
          </w:tcPr>
          <w:p>
            <w:pPr>
              <w:spacing w:after="0" w:line="20" w:lineRule="exact"/>
              <w:rPr>
                <w:sz w:val="1"/>
                <w:szCs w:val="1"/>
                <w:color w:val="auto"/>
              </w:rPr>
            </w:pPr>
          </w:p>
        </w:tc>
        <w:tc>
          <w:tcPr>
            <w:tcW w:w="30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980" w:type="dxa"/>
            <w:vAlign w:val="bottom"/>
            <w:tcBorders>
              <w:top w:val="single" w:sz="8" w:color="auto"/>
            </w:tcBorders>
            <w:shd w:val="clear" w:color="auto" w:fill="000000"/>
          </w:tcPr>
          <w:p>
            <w:pPr>
              <w:spacing w:after="0" w:line="20" w:lineRule="exact"/>
              <w:rPr>
                <w:sz w:val="1"/>
                <w:szCs w:val="1"/>
                <w:color w:val="auto"/>
              </w:rPr>
            </w:pPr>
          </w:p>
        </w:tc>
        <w:tc>
          <w:tcPr>
            <w:tcW w:w="12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4488180</wp:posOffset>
            </wp:positionH>
            <wp:positionV relativeFrom="paragraph">
              <wp:posOffset>-1293495</wp:posOffset>
            </wp:positionV>
            <wp:extent cx="68580" cy="825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-1276985</wp:posOffset>
            </wp:positionV>
            <wp:extent cx="68580" cy="825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-1293495</wp:posOffset>
            </wp:positionV>
            <wp:extent cx="68580" cy="825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-1276985</wp:posOffset>
            </wp:positionV>
            <wp:extent cx="68580" cy="825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-1293495</wp:posOffset>
            </wp:positionV>
            <wp:extent cx="68580" cy="8255"/>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-1276985</wp:posOffset>
            </wp:positionV>
            <wp:extent cx="68580" cy="8255"/>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-1293495</wp:posOffset>
            </wp:positionV>
            <wp:extent cx="77470" cy="825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-1276985</wp:posOffset>
            </wp:positionV>
            <wp:extent cx="77470" cy="825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-25400</wp:posOffset>
            </wp:positionV>
            <wp:extent cx="68580" cy="825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4488180</wp:posOffset>
            </wp:positionH>
            <wp:positionV relativeFrom="paragraph">
              <wp:posOffset>-7620</wp:posOffset>
            </wp:positionV>
            <wp:extent cx="68580" cy="8255"/>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-25400</wp:posOffset>
            </wp:positionV>
            <wp:extent cx="68580" cy="8255"/>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5345430</wp:posOffset>
            </wp:positionH>
            <wp:positionV relativeFrom="paragraph">
              <wp:posOffset>-7620</wp:posOffset>
            </wp:positionV>
            <wp:extent cx="68580" cy="8255"/>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-25400</wp:posOffset>
            </wp:positionV>
            <wp:extent cx="68580" cy="8255"/>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6142990</wp:posOffset>
            </wp:positionH>
            <wp:positionV relativeFrom="paragraph">
              <wp:posOffset>-7620</wp:posOffset>
            </wp:positionV>
            <wp:extent cx="68580" cy="8255"/>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-25400</wp:posOffset>
            </wp:positionV>
            <wp:extent cx="77470" cy="825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7059930</wp:posOffset>
            </wp:positionH>
            <wp:positionV relativeFrom="paragraph">
              <wp:posOffset>-7620</wp:posOffset>
            </wp:positionV>
            <wp:extent cx="77470" cy="8255"/>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77470" cy="8255"/>
                    </a:xfrm>
                    <a:prstGeom prst="rect">
                      <a:avLst/>
                    </a:prstGeom>
                    <a:noFill/>
                  </pic:spPr>
                </pic:pic>
              </a:graphicData>
            </a:graphic>
          </wp:anchor>
        </w:drawing>
      </w:r>
    </w:p>
    <w:p>
      <w:pPr>
        <w:spacing w:after="0" w:line="178" w:lineRule="exact"/>
        <w:rPr>
          <w:sz w:val="20"/>
          <w:szCs w:val="20"/>
          <w:color w:val="auto"/>
        </w:rPr>
      </w:pPr>
    </w:p>
    <w:p>
      <w:pPr>
        <w:jc w:val="both"/>
        <w:ind w:left="520" w:hanging="512"/>
        <w:spacing w:after="0" w:line="266" w:lineRule="auto"/>
        <w:tabs>
          <w:tab w:leader="none" w:pos="5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Income tax effects reflect the net tax effects of share-based compensation, which includes tax benefits and expenses on exercises of stock options and vesting of share-settled restricted stock units, interest expense for amortization of debt issuance costs, and gains and losses on debt extinguishment.</w:t>
      </w:r>
    </w:p>
    <w:p>
      <w:pPr>
        <w:spacing w:after="0" w:line="135" w:lineRule="exact"/>
        <w:rPr>
          <w:rFonts w:ascii="Times New Roman" w:cs="Times New Roman" w:eastAsia="Times New Roman" w:hAnsi="Times New Roman"/>
          <w:sz w:val="18"/>
          <w:szCs w:val="18"/>
          <w:color w:val="auto"/>
        </w:rPr>
      </w:pPr>
    </w:p>
    <w:p>
      <w:pPr>
        <w:jc w:val="both"/>
        <w:ind w:left="520" w:hanging="512"/>
        <w:spacing w:after="0" w:line="258" w:lineRule="auto"/>
        <w:tabs>
          <w:tab w:leader="none" w:pos="5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reconciliation purposes, the non-GAAP diluted earnings (loss) per share calculations use the same weighted average shares outstanding as that used in the GAAP diluted earnings (loss) per share calculations for the same period. For example, in periods of GAAP net loss, otherwise dilutive potential shares of common stock from MicroStrategy’s share-based compensation arrangements and convertible notes are excluded from the GAAP diluted loss per share calculation as they would be antidilutive, and therefore are also excluded from the non-GAAP diluted earnings or loss per share calculation.</w:t>
      </w:r>
    </w:p>
    <w:p>
      <w:pPr>
        <w:spacing w:after="0" w:line="156" w:lineRule="exact"/>
        <w:rPr>
          <w:rFonts w:ascii="Times New Roman" w:cs="Times New Roman" w:eastAsia="Times New Roman" w:hAnsi="Times New Roman"/>
          <w:sz w:val="18"/>
          <w:szCs w:val="18"/>
          <w:color w:val="auto"/>
        </w:rPr>
      </w:pPr>
    </w:p>
    <w:p>
      <w:pPr>
        <w:jc w:val="both"/>
        <w:ind w:left="520" w:hanging="512"/>
        <w:spacing w:after="0" w:line="258" w:lineRule="auto"/>
        <w:tabs>
          <w:tab w:leader="none" w:pos="5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For the three and twelve months ended December 31, 2023, interest expense from the amortization of issuance costs of the convertible notes has been added back to the numerator in the GAAP diluted earnings per share calculation, and therefore the per diluted share effects of the amortization of issuance costs of the convertible notes have been excluded from the “Interest expense arising from amortization of debt issuance costs (per diluted share)” and “Income tax effects (per diluted share)” lines in the above reconciliation for the three and twelve months ended December 31, 2023.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749935</wp:posOffset>
            </wp:positionV>
            <wp:extent cx="7157720" cy="42545"/>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6" w:name="page17"/>
    <w:bookmarkEnd w:id="16"/>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RECONCILIATION OF GAAP TO NON-GAAP MEASURES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CONSTANT CURRENCY</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18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326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2340" w:type="dxa"/>
            <w:vAlign w:val="bottom"/>
            <w:gridSpan w:val="4"/>
          </w:tcPr>
          <w:p>
            <w:pPr>
              <w:jc w:val="center"/>
              <w:spacing w:after="0"/>
              <w:rPr>
                <w:sz w:val="20"/>
                <w:szCs w:val="20"/>
                <w:color w:val="auto"/>
              </w:rPr>
            </w:pPr>
            <w:r>
              <w:rPr>
                <w:rFonts w:ascii="Times New Roman" w:cs="Times New Roman" w:eastAsia="Times New Roman" w:hAnsi="Times New Roman"/>
                <w:sz w:val="14"/>
                <w:szCs w:val="14"/>
                <w:b w:val="1"/>
                <w:bCs w:val="1"/>
                <w:color w:val="auto"/>
              </w:rPr>
              <w:t>Three Months Ended December 31,</w:t>
            </w:r>
          </w:p>
        </w:tc>
        <w:tc>
          <w:tcPr>
            <w:tcW w:w="200" w:type="dxa"/>
            <w:vAlign w:val="bottom"/>
          </w:tcPr>
          <w:p>
            <w:pPr>
              <w:spacing w:after="0"/>
              <w:rPr>
                <w:sz w:val="13"/>
                <w:szCs w:val="13"/>
                <w:color w:val="auto"/>
              </w:rPr>
            </w:pPr>
          </w:p>
        </w:tc>
        <w:tc>
          <w:tcPr>
            <w:tcW w:w="1120" w:type="dxa"/>
            <w:vAlign w:val="bottom"/>
          </w:tcPr>
          <w:p>
            <w:pPr>
              <w:spacing w:after="0"/>
              <w:rPr>
                <w:sz w:val="13"/>
                <w:szCs w:val="13"/>
                <w:color w:val="auto"/>
              </w:rPr>
            </w:pPr>
          </w:p>
        </w:tc>
        <w:tc>
          <w:tcPr>
            <w:tcW w:w="3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73"/>
        </w:trPr>
        <w:tc>
          <w:tcPr>
            <w:tcW w:w="326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880" w:type="dxa"/>
            <w:vAlign w:val="bottom"/>
            <w:tcBorders>
              <w:bottom w:val="single" w:sz="8" w:color="auto"/>
            </w:tcBorders>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180" w:type="dxa"/>
            <w:vAlign w:val="bottom"/>
            <w:tcBorders>
              <w:bottom w:val="single" w:sz="8" w:color="auto"/>
            </w:tcBorders>
          </w:tcPr>
          <w:p>
            <w:pPr>
              <w:spacing w:after="0"/>
              <w:rPr>
                <w:sz w:val="15"/>
                <w:szCs w:val="15"/>
                <w:color w:val="auto"/>
              </w:rPr>
            </w:pPr>
          </w:p>
        </w:tc>
        <w:tc>
          <w:tcPr>
            <w:tcW w:w="920" w:type="dxa"/>
            <w:vAlign w:val="bottom"/>
            <w:tcBorders>
              <w:bottom w:val="single" w:sz="8" w:color="auto"/>
            </w:tcBorders>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540" w:type="dxa"/>
            <w:vAlign w:val="bottom"/>
            <w:tcBorders>
              <w:bottom w:val="single" w:sz="8" w:color="auto"/>
            </w:tcBorders>
            <w:gridSpan w:val="3"/>
          </w:tcPr>
          <w:p>
            <w:pPr>
              <w:jc w:val="center"/>
              <w:ind w:left="659"/>
              <w:spacing w:after="0"/>
              <w:rPr>
                <w:sz w:val="20"/>
                <w:szCs w:val="20"/>
                <w:color w:val="auto"/>
              </w:rPr>
            </w:pPr>
            <w:r>
              <w:rPr>
                <w:rFonts w:ascii="Times New Roman" w:cs="Times New Roman" w:eastAsia="Times New Roman" w:hAnsi="Times New Roman"/>
                <w:sz w:val="14"/>
                <w:szCs w:val="14"/>
                <w:b w:val="1"/>
                <w:bCs w:val="1"/>
                <w:color w:val="auto"/>
              </w:rPr>
              <w:t>(unaudited)</w:t>
            </w:r>
          </w:p>
        </w:tc>
        <w:tc>
          <w:tcPr>
            <w:tcW w:w="800" w:type="dxa"/>
            <w:vAlign w:val="bottom"/>
            <w:tcBorders>
              <w:bottom w:val="single" w:sz="8" w:color="auto"/>
            </w:tcBorders>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120" w:type="dxa"/>
            <w:vAlign w:val="bottom"/>
            <w:tcBorders>
              <w:bottom w:val="single" w:sz="8" w:color="auto"/>
            </w:tcBorders>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1080" w:type="dxa"/>
            <w:vAlign w:val="bottom"/>
            <w:tcBorders>
              <w:bottom w:val="single" w:sz="8" w:color="auto"/>
            </w:tcBorders>
          </w:tcPr>
          <w:p>
            <w:pPr>
              <w:spacing w:after="0"/>
              <w:rPr>
                <w:sz w:val="15"/>
                <w:szCs w:val="15"/>
                <w:color w:val="auto"/>
              </w:rPr>
            </w:pPr>
          </w:p>
        </w:tc>
        <w:tc>
          <w:tcPr>
            <w:tcW w:w="1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7"/>
        </w:trPr>
        <w:tc>
          <w:tcPr>
            <w:tcW w:w="32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1120" w:type="dxa"/>
            <w:vAlign w:val="bottom"/>
            <w:gridSpan w:val="2"/>
          </w:tcPr>
          <w:p>
            <w:pPr>
              <w:jc w:val="center"/>
              <w:ind w:right="400"/>
              <w:spacing w:after="0" w:line="118" w:lineRule="exact"/>
              <w:rPr>
                <w:sz w:val="20"/>
                <w:szCs w:val="20"/>
                <w:color w:val="auto"/>
              </w:rPr>
            </w:pPr>
            <w:r>
              <w:rPr>
                <w:rFonts w:ascii="Times New Roman" w:cs="Times New Roman" w:eastAsia="Times New Roman" w:hAnsi="Times New Roman"/>
                <w:sz w:val="13"/>
                <w:szCs w:val="13"/>
                <w:b w:val="1"/>
                <w:bCs w:val="1"/>
                <w:color w:val="auto"/>
              </w:rPr>
              <w:t>Foreign</w:t>
            </w:r>
          </w:p>
        </w:tc>
        <w:tc>
          <w:tcPr>
            <w:tcW w:w="120" w:type="dxa"/>
            <w:vAlign w:val="bottom"/>
          </w:tcPr>
          <w:p>
            <w:pPr>
              <w:spacing w:after="0"/>
              <w:rPr>
                <w:sz w:val="10"/>
                <w:szCs w:val="10"/>
                <w:color w:val="auto"/>
              </w:rPr>
            </w:pPr>
          </w:p>
        </w:tc>
        <w:tc>
          <w:tcPr>
            <w:tcW w:w="1000" w:type="dxa"/>
            <w:vAlign w:val="bottom"/>
            <w:vMerge w:val="restart"/>
          </w:tcPr>
          <w:p>
            <w:pPr>
              <w:jc w:val="center"/>
              <w:ind w:right="39"/>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2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80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120" w:type="dxa"/>
            <w:vAlign w:val="bottom"/>
          </w:tcPr>
          <w:p>
            <w:pPr>
              <w:spacing w:after="0"/>
              <w:rPr>
                <w:sz w:val="10"/>
                <w:szCs w:val="10"/>
                <w:color w:val="auto"/>
              </w:rPr>
            </w:pPr>
          </w:p>
        </w:tc>
        <w:tc>
          <w:tcPr>
            <w:tcW w:w="300" w:type="dxa"/>
            <w:vAlign w:val="bottom"/>
          </w:tcPr>
          <w:p>
            <w:pPr>
              <w:spacing w:after="0"/>
              <w:rPr>
                <w:sz w:val="10"/>
                <w:szCs w:val="10"/>
                <w:color w:val="auto"/>
              </w:rPr>
            </w:pPr>
          </w:p>
        </w:tc>
        <w:tc>
          <w:tcPr>
            <w:tcW w:w="1080" w:type="dxa"/>
            <w:vAlign w:val="bottom"/>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Non-GAAP</w:t>
            </w:r>
          </w:p>
        </w:tc>
        <w:tc>
          <w:tcPr>
            <w:tcW w:w="1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8"/>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120" w:type="dxa"/>
            <w:vAlign w:val="bottom"/>
            <w:gridSpan w:val="2"/>
          </w:tcPr>
          <w:p>
            <w:pPr>
              <w:jc w:val="center"/>
              <w:ind w:right="40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20" w:type="dxa"/>
            <w:vAlign w:val="bottom"/>
          </w:tcPr>
          <w:p>
            <w:pPr>
              <w:spacing w:after="0"/>
              <w:rPr>
                <w:sz w:val="12"/>
                <w:szCs w:val="12"/>
                <w:color w:val="auto"/>
              </w:rPr>
            </w:pPr>
          </w:p>
        </w:tc>
        <w:tc>
          <w:tcPr>
            <w:tcW w:w="100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420" w:type="dxa"/>
            <w:vAlign w:val="bottom"/>
            <w:gridSpan w:val="2"/>
            <w:vMerge w:val="restart"/>
          </w:tcPr>
          <w:p>
            <w:pPr>
              <w:jc w:val="center"/>
              <w:ind w:right="28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260" w:type="dxa"/>
            <w:vAlign w:val="bottom"/>
            <w:gridSpan w:val="2"/>
          </w:tcPr>
          <w:p>
            <w:pPr>
              <w:jc w:val="center"/>
              <w:ind w:right="18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8"/>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vMerge w:val="restart"/>
          </w:tcPr>
          <w:p>
            <w:pPr>
              <w:jc w:val="center"/>
              <w:ind w:right="11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120" w:type="dxa"/>
            <w:vAlign w:val="bottom"/>
            <w:gridSpan w:val="2"/>
          </w:tcPr>
          <w:p>
            <w:pPr>
              <w:jc w:val="center"/>
              <w:ind w:right="400"/>
              <w:spacing w:after="0" w:line="149" w:lineRule="exact"/>
              <w:rPr>
                <w:sz w:val="20"/>
                <w:szCs w:val="20"/>
                <w:color w:val="auto"/>
              </w:rPr>
            </w:pPr>
            <w:r>
              <w:rPr>
                <w:rFonts w:ascii="Times New Roman" w:cs="Times New Roman" w:eastAsia="Times New Roman" w:hAnsi="Times New Roman"/>
                <w:sz w:val="14"/>
                <w:szCs w:val="14"/>
                <w:b w:val="1"/>
                <w:bCs w:val="1"/>
                <w:color w:val="auto"/>
              </w:rPr>
              <w:t>Exchange</w:t>
            </w:r>
          </w:p>
        </w:tc>
        <w:tc>
          <w:tcPr>
            <w:tcW w:w="120" w:type="dxa"/>
            <w:vAlign w:val="bottom"/>
          </w:tcPr>
          <w:p>
            <w:pPr>
              <w:spacing w:after="0"/>
              <w:rPr>
                <w:sz w:val="12"/>
                <w:szCs w:val="12"/>
                <w:color w:val="auto"/>
              </w:rPr>
            </w:pPr>
          </w:p>
        </w:tc>
        <w:tc>
          <w:tcPr>
            <w:tcW w:w="1000" w:type="dxa"/>
            <w:vAlign w:val="bottom"/>
          </w:tcPr>
          <w:p>
            <w:pPr>
              <w:jc w:val="center"/>
              <w:ind w:right="39"/>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2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800" w:type="dxa"/>
            <w:vAlign w:val="bottom"/>
            <w:vMerge w:val="restart"/>
          </w:tcPr>
          <w:p>
            <w:pPr>
              <w:jc w:val="center"/>
              <w:ind w:right="23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00" w:type="dxa"/>
            <w:vAlign w:val="bottom"/>
          </w:tcPr>
          <w:p>
            <w:pPr>
              <w:spacing w:after="0"/>
              <w:rPr>
                <w:sz w:val="12"/>
                <w:szCs w:val="12"/>
                <w:color w:val="auto"/>
              </w:rPr>
            </w:pPr>
          </w:p>
        </w:tc>
        <w:tc>
          <w:tcPr>
            <w:tcW w:w="1420" w:type="dxa"/>
            <w:vAlign w:val="bottom"/>
            <w:gridSpan w:val="2"/>
            <w:vMerge w:val="continue"/>
          </w:tcPr>
          <w:p>
            <w:pPr>
              <w:spacing w:after="0"/>
              <w:rPr>
                <w:sz w:val="12"/>
                <w:szCs w:val="12"/>
                <w:color w:val="auto"/>
              </w:rPr>
            </w:pPr>
          </w:p>
        </w:tc>
        <w:tc>
          <w:tcPr>
            <w:tcW w:w="1260" w:type="dxa"/>
            <w:vAlign w:val="bottom"/>
            <w:gridSpan w:val="2"/>
          </w:tcPr>
          <w:p>
            <w:pPr>
              <w:jc w:val="center"/>
              <w:ind w:right="1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0" w:type="dxa"/>
            <w:vAlign w:val="bottom"/>
          </w:tcPr>
          <w:p>
            <w:pPr>
              <w:spacing w:after="0"/>
              <w:rPr>
                <w:sz w:val="1"/>
                <w:szCs w:val="1"/>
                <w:color w:val="auto"/>
              </w:rPr>
            </w:pPr>
          </w:p>
        </w:tc>
      </w:tr>
      <w:tr>
        <w:trPr>
          <w:trHeight w:val="173"/>
        </w:trPr>
        <w:tc>
          <w:tcPr>
            <w:tcW w:w="32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880" w:type="dxa"/>
            <w:vAlign w:val="bottom"/>
            <w:vMerge w:val="continue"/>
          </w:tcPr>
          <w:p>
            <w:pPr>
              <w:spacing w:after="0"/>
              <w:rPr>
                <w:sz w:val="15"/>
                <w:szCs w:val="15"/>
                <w:color w:val="auto"/>
              </w:rPr>
            </w:pPr>
          </w:p>
        </w:tc>
        <w:tc>
          <w:tcPr>
            <w:tcW w:w="240" w:type="dxa"/>
            <w:vAlign w:val="bottom"/>
          </w:tcPr>
          <w:p>
            <w:pPr>
              <w:spacing w:after="0"/>
              <w:rPr>
                <w:sz w:val="15"/>
                <w:szCs w:val="15"/>
                <w:color w:val="auto"/>
              </w:rPr>
            </w:pPr>
          </w:p>
        </w:tc>
        <w:tc>
          <w:tcPr>
            <w:tcW w:w="1300" w:type="dxa"/>
            <w:vAlign w:val="bottom"/>
            <w:gridSpan w:val="3"/>
          </w:tcPr>
          <w:p>
            <w:pPr>
              <w:jc w:val="center"/>
              <w:ind w:right="220"/>
              <w:spacing w:after="0"/>
              <w:rPr>
                <w:sz w:val="20"/>
                <w:szCs w:val="20"/>
                <w:color w:val="auto"/>
              </w:rPr>
            </w:pPr>
            <w:r>
              <w:rPr>
                <w:rFonts w:ascii="Times New Roman" w:cs="Times New Roman" w:eastAsia="Times New Roman" w:hAnsi="Times New Roman"/>
                <w:sz w:val="14"/>
                <w:szCs w:val="14"/>
                <w:b w:val="1"/>
                <w:bCs w:val="1"/>
                <w:color w:val="auto"/>
              </w:rPr>
              <w:t>Rate Impact (1)</w:t>
            </w:r>
          </w:p>
        </w:tc>
        <w:tc>
          <w:tcPr>
            <w:tcW w:w="120" w:type="dxa"/>
            <w:vAlign w:val="bottom"/>
          </w:tcPr>
          <w:p>
            <w:pPr>
              <w:spacing w:after="0"/>
              <w:rPr>
                <w:sz w:val="15"/>
                <w:szCs w:val="15"/>
                <w:color w:val="auto"/>
              </w:rPr>
            </w:pPr>
          </w:p>
        </w:tc>
        <w:tc>
          <w:tcPr>
            <w:tcW w:w="1000" w:type="dxa"/>
            <w:vAlign w:val="bottom"/>
          </w:tcPr>
          <w:p>
            <w:pPr>
              <w:jc w:val="center"/>
              <w:ind w:right="39"/>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20" w:type="dxa"/>
            <w:vAlign w:val="bottom"/>
          </w:tcPr>
          <w:p>
            <w:pPr>
              <w:spacing w:after="0"/>
              <w:rPr>
                <w:sz w:val="15"/>
                <w:szCs w:val="15"/>
                <w:color w:val="auto"/>
              </w:rPr>
            </w:pPr>
          </w:p>
        </w:tc>
        <w:tc>
          <w:tcPr>
            <w:tcW w:w="320" w:type="dxa"/>
            <w:vAlign w:val="bottom"/>
          </w:tcPr>
          <w:p>
            <w:pPr>
              <w:spacing w:after="0"/>
              <w:rPr>
                <w:sz w:val="15"/>
                <w:szCs w:val="15"/>
                <w:color w:val="auto"/>
              </w:rPr>
            </w:pPr>
          </w:p>
        </w:tc>
        <w:tc>
          <w:tcPr>
            <w:tcW w:w="800" w:type="dxa"/>
            <w:vAlign w:val="bottom"/>
            <w:vMerge w:val="continue"/>
          </w:tcPr>
          <w:p>
            <w:pPr>
              <w:spacing w:after="0"/>
              <w:rPr>
                <w:sz w:val="15"/>
                <w:szCs w:val="15"/>
                <w:color w:val="auto"/>
              </w:rPr>
            </w:pPr>
          </w:p>
        </w:tc>
        <w:tc>
          <w:tcPr>
            <w:tcW w:w="200" w:type="dxa"/>
            <w:vAlign w:val="bottom"/>
          </w:tcPr>
          <w:p>
            <w:pPr>
              <w:spacing w:after="0"/>
              <w:rPr>
                <w:sz w:val="15"/>
                <w:szCs w:val="15"/>
                <w:color w:val="auto"/>
              </w:rPr>
            </w:pPr>
          </w:p>
        </w:tc>
        <w:tc>
          <w:tcPr>
            <w:tcW w:w="1420" w:type="dxa"/>
            <w:vAlign w:val="bottom"/>
            <w:gridSpan w:val="2"/>
          </w:tcPr>
          <w:p>
            <w:pPr>
              <w:jc w:val="center"/>
              <w:ind w:right="28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26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 Change (3)</w:t>
            </w:r>
          </w:p>
        </w:tc>
        <w:tc>
          <w:tcPr>
            <w:tcW w:w="0" w:type="dxa"/>
            <w:vAlign w:val="bottom"/>
          </w:tcPr>
          <w:p>
            <w:pPr>
              <w:spacing w:after="0"/>
              <w:rPr>
                <w:sz w:val="1"/>
                <w:szCs w:val="1"/>
                <w:color w:val="auto"/>
              </w:rPr>
            </w:pPr>
          </w:p>
        </w:tc>
      </w:tr>
      <w:tr>
        <w:trPr>
          <w:trHeight w:val="142"/>
        </w:trPr>
        <w:tc>
          <w:tcPr>
            <w:tcW w:w="3260" w:type="dxa"/>
            <w:vAlign w:val="bottom"/>
          </w:tcPr>
          <w:p>
            <w:pPr>
              <w:spacing w:after="0"/>
              <w:rPr>
                <w:sz w:val="12"/>
                <w:szCs w:val="12"/>
                <w:color w:val="auto"/>
              </w:rPr>
            </w:pPr>
          </w:p>
        </w:tc>
        <w:tc>
          <w:tcPr>
            <w:tcW w:w="220" w:type="dxa"/>
            <w:vAlign w:val="bottom"/>
            <w:tcBorders>
              <w:top w:val="single" w:sz="8" w:color="auto"/>
              <w:bottom w:val="single" w:sz="8" w:color="auto"/>
            </w:tcBorders>
          </w:tcPr>
          <w:p>
            <w:pPr>
              <w:spacing w:after="0"/>
              <w:rPr>
                <w:sz w:val="12"/>
                <w:szCs w:val="12"/>
                <w:color w:val="auto"/>
              </w:rPr>
            </w:pPr>
          </w:p>
        </w:tc>
        <w:tc>
          <w:tcPr>
            <w:tcW w:w="880" w:type="dxa"/>
            <w:vAlign w:val="bottom"/>
            <w:tcBorders>
              <w:top w:val="single" w:sz="8" w:color="auto"/>
              <w:bottom w:val="single" w:sz="8" w:color="auto"/>
            </w:tcBorders>
          </w:tcPr>
          <w:p>
            <w:pPr>
              <w:jc w:val="center"/>
              <w:ind w:right="115"/>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40" w:type="dxa"/>
            <w:vAlign w:val="bottom"/>
          </w:tcPr>
          <w:p>
            <w:pPr>
              <w:spacing w:after="0"/>
              <w:rPr>
                <w:sz w:val="12"/>
                <w:szCs w:val="12"/>
                <w:color w:val="auto"/>
              </w:rPr>
            </w:pPr>
          </w:p>
        </w:tc>
        <w:tc>
          <w:tcPr>
            <w:tcW w:w="180" w:type="dxa"/>
            <w:vAlign w:val="bottom"/>
            <w:tcBorders>
              <w:top w:val="single" w:sz="8" w:color="auto"/>
              <w:bottom w:val="single" w:sz="8" w:color="auto"/>
            </w:tcBorders>
          </w:tcPr>
          <w:p>
            <w:pPr>
              <w:spacing w:after="0"/>
              <w:rPr>
                <w:sz w:val="12"/>
                <w:szCs w:val="12"/>
                <w:color w:val="auto"/>
              </w:rPr>
            </w:pPr>
          </w:p>
        </w:tc>
        <w:tc>
          <w:tcPr>
            <w:tcW w:w="920" w:type="dxa"/>
            <w:vAlign w:val="bottom"/>
            <w:tcBorders>
              <w:top w:val="single" w:sz="8" w:color="auto"/>
              <w:bottom w:val="single" w:sz="8" w:color="auto"/>
            </w:tcBorders>
          </w:tcPr>
          <w:p>
            <w:pPr>
              <w:jc w:val="center"/>
              <w:ind w:right="118"/>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00" w:type="dxa"/>
            <w:vAlign w:val="bottom"/>
          </w:tcPr>
          <w:p>
            <w:pPr>
              <w:spacing w:after="0"/>
              <w:rPr>
                <w:sz w:val="12"/>
                <w:szCs w:val="12"/>
                <w:color w:val="auto"/>
              </w:rPr>
            </w:pPr>
          </w:p>
        </w:tc>
        <w:tc>
          <w:tcPr>
            <w:tcW w:w="120" w:type="dxa"/>
            <w:vAlign w:val="bottom"/>
            <w:tcBorders>
              <w:top w:val="single" w:sz="8" w:color="auto"/>
              <w:bottom w:val="single" w:sz="8" w:color="auto"/>
            </w:tcBorders>
          </w:tcPr>
          <w:p>
            <w:pPr>
              <w:spacing w:after="0"/>
              <w:rPr>
                <w:sz w:val="12"/>
                <w:szCs w:val="12"/>
                <w:color w:val="auto"/>
              </w:rPr>
            </w:pPr>
          </w:p>
        </w:tc>
        <w:tc>
          <w:tcPr>
            <w:tcW w:w="1000" w:type="dxa"/>
            <w:vAlign w:val="bottom"/>
            <w:tcBorders>
              <w:top w:val="single" w:sz="8" w:color="auto"/>
              <w:bottom w:val="single" w:sz="8" w:color="auto"/>
            </w:tcBorders>
          </w:tcPr>
          <w:p>
            <w:pPr>
              <w:jc w:val="center"/>
              <w:ind w:right="39"/>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20" w:type="dxa"/>
            <w:vAlign w:val="bottom"/>
          </w:tcPr>
          <w:p>
            <w:pPr>
              <w:spacing w:after="0"/>
              <w:rPr>
                <w:sz w:val="12"/>
                <w:szCs w:val="12"/>
                <w:color w:val="auto"/>
              </w:rPr>
            </w:pPr>
          </w:p>
        </w:tc>
        <w:tc>
          <w:tcPr>
            <w:tcW w:w="320" w:type="dxa"/>
            <w:vAlign w:val="bottom"/>
            <w:tcBorders>
              <w:top w:val="single" w:sz="8" w:color="auto"/>
              <w:bottom w:val="single" w:sz="8" w:color="auto"/>
            </w:tcBorders>
          </w:tcPr>
          <w:p>
            <w:pPr>
              <w:spacing w:after="0"/>
              <w:rPr>
                <w:sz w:val="12"/>
                <w:szCs w:val="12"/>
                <w:color w:val="auto"/>
              </w:rPr>
            </w:pPr>
          </w:p>
        </w:tc>
        <w:tc>
          <w:tcPr>
            <w:tcW w:w="800" w:type="dxa"/>
            <w:vAlign w:val="bottom"/>
            <w:tcBorders>
              <w:top w:val="single" w:sz="8" w:color="auto"/>
              <w:bottom w:val="single" w:sz="8" w:color="auto"/>
            </w:tcBorders>
          </w:tcPr>
          <w:p>
            <w:pPr>
              <w:jc w:val="center"/>
              <w:ind w:right="235"/>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2023</w:t>
            </w:r>
          </w:p>
        </w:tc>
        <w:tc>
          <w:tcPr>
            <w:tcW w:w="200" w:type="dxa"/>
            <w:vAlign w:val="bottom"/>
          </w:tcPr>
          <w:p>
            <w:pPr>
              <w:spacing w:after="0"/>
              <w:rPr>
                <w:sz w:val="12"/>
                <w:szCs w:val="12"/>
                <w:color w:val="auto"/>
              </w:rPr>
            </w:pPr>
          </w:p>
        </w:tc>
        <w:tc>
          <w:tcPr>
            <w:tcW w:w="112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300" w:type="dxa"/>
            <w:vAlign w:val="bottom"/>
          </w:tcPr>
          <w:p>
            <w:pPr>
              <w:spacing w:after="0"/>
              <w:rPr>
                <w:sz w:val="12"/>
                <w:szCs w:val="12"/>
                <w:color w:val="auto"/>
              </w:rPr>
            </w:pPr>
          </w:p>
        </w:tc>
        <w:tc>
          <w:tcPr>
            <w:tcW w:w="108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1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92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12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8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15,256</w:t>
            </w:r>
          </w:p>
        </w:tc>
        <w:tc>
          <w:tcPr>
            <w:tcW w:w="420" w:type="dxa"/>
            <w:vAlign w:val="bottom"/>
            <w:gridSpan w:val="2"/>
          </w:tcPr>
          <w:p>
            <w:pPr>
              <w:jc w:val="right"/>
              <w:ind w:right="8"/>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(239 )</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15,495</w:t>
            </w:r>
          </w:p>
        </w:tc>
        <w:tc>
          <w:tcPr>
            <w:tcW w:w="540" w:type="dxa"/>
            <w:vAlign w:val="bottom"/>
            <w:gridSpan w:val="2"/>
          </w:tcPr>
          <w:p>
            <w:pPr>
              <w:jc w:val="right"/>
              <w:ind w:righ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18,372</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-17.0 %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-15.7 %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31,930</w:t>
            </w: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1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(5 )</w:t>
            </w: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31,935</w:t>
            </w: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21,517</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48.4 %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48.4 %</w:t>
            </w:r>
          </w:p>
        </w:tc>
        <w:tc>
          <w:tcPr>
            <w:tcW w:w="0" w:type="dxa"/>
            <w:vAlign w:val="bottom"/>
          </w:tcPr>
          <w:p>
            <w:pPr>
              <w:spacing w:after="0"/>
              <w:rPr>
                <w:sz w:val="1"/>
                <w:szCs w:val="1"/>
                <w:color w:val="auto"/>
              </w:rPr>
            </w:pPr>
          </w:p>
        </w:tc>
      </w:tr>
      <w:tr>
        <w:trPr>
          <w:trHeight w:val="198"/>
        </w:trPr>
        <w:tc>
          <w:tcPr>
            <w:tcW w:w="3260" w:type="dxa"/>
            <w:vAlign w:val="bottom"/>
          </w:tcPr>
          <w:p>
            <w:pPr>
              <w:ind w:left="80"/>
              <w:spacing w:after="0" w:line="198" w:lineRule="exact"/>
              <w:rPr>
                <w:sz w:val="20"/>
                <w:szCs w:val="20"/>
                <w:color w:val="auto"/>
              </w:rPr>
            </w:pPr>
            <w:r>
              <w:rPr>
                <w:rFonts w:ascii="Times New Roman" w:cs="Times New Roman" w:eastAsia="Times New Roman" w:hAnsi="Times New Roman"/>
                <w:sz w:val="18"/>
                <w:szCs w:val="18"/>
                <w:color w:val="auto"/>
              </w:rPr>
              <w:t>Total product licenses and subscription</w:t>
            </w:r>
          </w:p>
        </w:tc>
        <w:tc>
          <w:tcPr>
            <w:tcW w:w="220" w:type="dxa"/>
            <w:vAlign w:val="bottom"/>
          </w:tcPr>
          <w:p>
            <w:pPr>
              <w:spacing w:after="0"/>
              <w:rPr>
                <w:sz w:val="17"/>
                <w:szCs w:val="17"/>
                <w:color w:val="auto"/>
              </w:rPr>
            </w:pPr>
          </w:p>
        </w:tc>
        <w:tc>
          <w:tcPr>
            <w:tcW w:w="880" w:type="dxa"/>
            <w:vAlign w:val="bottom"/>
          </w:tcPr>
          <w:p>
            <w:pPr>
              <w:jc w:val="right"/>
              <w:spacing w:after="0" w:line="198" w:lineRule="exact"/>
              <w:rPr>
                <w:sz w:val="20"/>
                <w:szCs w:val="20"/>
                <w:color w:val="auto"/>
              </w:rPr>
            </w:pPr>
            <w:r>
              <w:rPr>
                <w:rFonts w:ascii="Times New Roman" w:cs="Times New Roman" w:eastAsia="Times New Roman" w:hAnsi="Times New Roman"/>
                <w:sz w:val="18"/>
                <w:szCs w:val="18"/>
                <w:color w:val="auto"/>
              </w:rPr>
              <w:t>47,186</w:t>
            </w:r>
          </w:p>
        </w:tc>
        <w:tc>
          <w:tcPr>
            <w:tcW w:w="24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1120" w:type="dxa"/>
            <w:vAlign w:val="bottom"/>
            <w:gridSpan w:val="2"/>
          </w:tcPr>
          <w:p>
            <w:pPr>
              <w:jc w:val="right"/>
              <w:ind w:right="140"/>
              <w:spacing w:after="0" w:line="198" w:lineRule="exact"/>
              <w:rPr>
                <w:sz w:val="20"/>
                <w:szCs w:val="20"/>
                <w:color w:val="auto"/>
              </w:rPr>
            </w:pPr>
            <w:r>
              <w:rPr>
                <w:rFonts w:ascii="Times New Roman" w:cs="Times New Roman" w:eastAsia="Times New Roman" w:hAnsi="Times New Roman"/>
                <w:sz w:val="18"/>
                <w:szCs w:val="18"/>
                <w:color w:val="auto"/>
              </w:rPr>
              <w:t>(244 )</w:t>
            </w:r>
          </w:p>
        </w:tc>
        <w:tc>
          <w:tcPr>
            <w:tcW w:w="120" w:type="dxa"/>
            <w:vAlign w:val="bottom"/>
          </w:tcPr>
          <w:p>
            <w:pPr>
              <w:spacing w:after="0"/>
              <w:rPr>
                <w:sz w:val="17"/>
                <w:szCs w:val="17"/>
                <w:color w:val="auto"/>
              </w:rPr>
            </w:pPr>
          </w:p>
        </w:tc>
        <w:tc>
          <w:tcPr>
            <w:tcW w:w="1000" w:type="dxa"/>
            <w:vAlign w:val="bottom"/>
          </w:tcPr>
          <w:p>
            <w:pPr>
              <w:jc w:val="right"/>
              <w:spacing w:after="0" w:line="198" w:lineRule="exact"/>
              <w:rPr>
                <w:sz w:val="20"/>
                <w:szCs w:val="20"/>
                <w:color w:val="auto"/>
              </w:rPr>
            </w:pPr>
            <w:r>
              <w:rPr>
                <w:rFonts w:ascii="Times New Roman" w:cs="Times New Roman" w:eastAsia="Times New Roman" w:hAnsi="Times New Roman"/>
                <w:sz w:val="18"/>
                <w:szCs w:val="18"/>
                <w:color w:val="auto"/>
              </w:rPr>
              <w:t>47,430</w:t>
            </w:r>
          </w:p>
        </w:tc>
        <w:tc>
          <w:tcPr>
            <w:tcW w:w="220" w:type="dxa"/>
            <w:vAlign w:val="bottom"/>
          </w:tcPr>
          <w:p>
            <w:pPr>
              <w:spacing w:after="0"/>
              <w:rPr>
                <w:sz w:val="17"/>
                <w:szCs w:val="17"/>
                <w:color w:val="auto"/>
              </w:rPr>
            </w:pPr>
          </w:p>
        </w:tc>
        <w:tc>
          <w:tcPr>
            <w:tcW w:w="320" w:type="dxa"/>
            <w:vAlign w:val="bottom"/>
          </w:tcPr>
          <w:p>
            <w:pPr>
              <w:spacing w:after="0"/>
              <w:rPr>
                <w:sz w:val="17"/>
                <w:szCs w:val="17"/>
                <w:color w:val="auto"/>
              </w:rPr>
            </w:pPr>
          </w:p>
        </w:tc>
        <w:tc>
          <w:tcPr>
            <w:tcW w:w="800" w:type="dxa"/>
            <w:vAlign w:val="bottom"/>
          </w:tcPr>
          <w:p>
            <w:pPr>
              <w:jc w:val="right"/>
              <w:spacing w:after="0" w:line="198" w:lineRule="exact"/>
              <w:rPr>
                <w:sz w:val="20"/>
                <w:szCs w:val="20"/>
                <w:color w:val="auto"/>
              </w:rPr>
            </w:pPr>
            <w:r>
              <w:rPr>
                <w:rFonts w:ascii="Times New Roman" w:cs="Times New Roman" w:eastAsia="Times New Roman" w:hAnsi="Times New Roman"/>
                <w:sz w:val="18"/>
                <w:szCs w:val="18"/>
                <w:color w:val="auto"/>
              </w:rPr>
              <w:t>39,889</w:t>
            </w:r>
          </w:p>
        </w:tc>
        <w:tc>
          <w:tcPr>
            <w:tcW w:w="1620" w:type="dxa"/>
            <w:vAlign w:val="bottom"/>
            <w:gridSpan w:val="3"/>
          </w:tcPr>
          <w:p>
            <w:pPr>
              <w:jc w:val="right"/>
              <w:ind w:right="120"/>
              <w:spacing w:after="0" w:line="198" w:lineRule="exact"/>
              <w:rPr>
                <w:sz w:val="20"/>
                <w:szCs w:val="20"/>
                <w:color w:val="auto"/>
              </w:rPr>
            </w:pPr>
            <w:r>
              <w:rPr>
                <w:rFonts w:ascii="Times New Roman" w:cs="Times New Roman" w:eastAsia="Times New Roman" w:hAnsi="Times New Roman"/>
                <w:sz w:val="18"/>
                <w:szCs w:val="18"/>
                <w:color w:val="auto"/>
              </w:rPr>
              <w:t>18.3 %</w:t>
            </w:r>
          </w:p>
        </w:tc>
        <w:tc>
          <w:tcPr>
            <w:tcW w:w="1260" w:type="dxa"/>
            <w:vAlign w:val="bottom"/>
            <w:gridSpan w:val="2"/>
          </w:tcPr>
          <w:p>
            <w:pPr>
              <w:jc w:val="right"/>
              <w:ind w:right="20"/>
              <w:spacing w:after="0" w:line="198" w:lineRule="exact"/>
              <w:rPr>
                <w:sz w:val="20"/>
                <w:szCs w:val="20"/>
                <w:color w:val="auto"/>
              </w:rPr>
            </w:pPr>
            <w:r>
              <w:rPr>
                <w:rFonts w:ascii="Times New Roman" w:cs="Times New Roman" w:eastAsia="Times New Roman" w:hAnsi="Times New Roman"/>
                <w:sz w:val="18"/>
                <w:szCs w:val="18"/>
                <w:color w:val="auto"/>
              </w:rPr>
              <w:t>18.9 %</w:t>
            </w:r>
          </w:p>
        </w:tc>
        <w:tc>
          <w:tcPr>
            <w:tcW w:w="0" w:type="dxa"/>
            <w:vAlign w:val="bottom"/>
          </w:tcPr>
          <w:p>
            <w:pPr>
              <w:spacing w:after="0"/>
              <w:rPr>
                <w:sz w:val="1"/>
                <w:szCs w:val="1"/>
                <w:color w:val="auto"/>
              </w:rPr>
            </w:pPr>
          </w:p>
        </w:tc>
      </w:tr>
      <w:tr>
        <w:trPr>
          <w:trHeight w:val="234"/>
        </w:trPr>
        <w:tc>
          <w:tcPr>
            <w:tcW w:w="32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services</w:t>
            </w:r>
          </w:p>
        </w:tc>
        <w:tc>
          <w:tcPr>
            <w:tcW w:w="220" w:type="dxa"/>
            <w:vAlign w:val="bottom"/>
          </w:tcPr>
          <w:p>
            <w:pPr>
              <w:spacing w:after="0"/>
              <w:rPr>
                <w:sz w:val="20"/>
                <w:szCs w:val="20"/>
                <w:color w:val="auto"/>
              </w:rPr>
            </w:pPr>
          </w:p>
        </w:tc>
        <w:tc>
          <w:tcPr>
            <w:tcW w:w="8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92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00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8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12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10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58,365</w:t>
            </w: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1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(241 )</w:t>
            </w: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58,606</w:t>
            </w: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65,466</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-10.8 %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-10.5 %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15,146</w:t>
            </w:r>
          </w:p>
        </w:tc>
        <w:tc>
          <w:tcPr>
            <w:tcW w:w="24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11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(31 )</w:t>
            </w:r>
          </w:p>
        </w:tc>
        <w:tc>
          <w:tcPr>
            <w:tcW w:w="12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15,177</w:t>
            </w:r>
          </w:p>
        </w:tc>
        <w:tc>
          <w:tcPr>
            <w:tcW w:w="22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19,129</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-20.8 %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-20.7 %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120,697</w:t>
            </w: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1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(516 )</w:t>
            </w: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121,213</w:t>
            </w: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124,484</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-3.0 %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-2.6 %</w:t>
            </w:r>
          </w:p>
        </w:tc>
        <w:tc>
          <w:tcPr>
            <w:tcW w:w="0" w:type="dxa"/>
            <w:vAlign w:val="bottom"/>
          </w:tcPr>
          <w:p>
            <w:pPr>
              <w:spacing w:after="0"/>
              <w:rPr>
                <w:sz w:val="1"/>
                <w:szCs w:val="1"/>
                <w:color w:val="auto"/>
              </w:rPr>
            </w:pPr>
          </w:p>
        </w:tc>
      </w:tr>
      <w:tr>
        <w:trPr>
          <w:trHeight w:val="340"/>
        </w:trPr>
        <w:tc>
          <w:tcPr>
            <w:tcW w:w="32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8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2340" w:type="dxa"/>
            <w:vAlign w:val="bottom"/>
            <w:gridSpan w:val="4"/>
          </w:tcPr>
          <w:p>
            <w:pPr>
              <w:jc w:val="center"/>
              <w:spacing w:after="0"/>
              <w:rPr>
                <w:sz w:val="20"/>
                <w:szCs w:val="20"/>
                <w:color w:val="auto"/>
              </w:rPr>
            </w:pPr>
            <w:r>
              <w:rPr>
                <w:rFonts w:ascii="Times New Roman" w:cs="Times New Roman" w:eastAsia="Times New Roman" w:hAnsi="Times New Roman"/>
                <w:sz w:val="14"/>
                <w:szCs w:val="14"/>
                <w:b w:val="1"/>
                <w:bCs w:val="1"/>
                <w:color w:val="auto"/>
              </w:rPr>
              <w:t>Twelve Months Ended December 31,</w:t>
            </w:r>
          </w:p>
        </w:tc>
        <w:tc>
          <w:tcPr>
            <w:tcW w:w="200" w:type="dxa"/>
            <w:vAlign w:val="bottom"/>
          </w:tcPr>
          <w:p>
            <w:pPr>
              <w:spacing w:after="0"/>
              <w:rPr>
                <w:sz w:val="24"/>
                <w:szCs w:val="24"/>
                <w:color w:val="auto"/>
              </w:rPr>
            </w:pPr>
          </w:p>
        </w:tc>
        <w:tc>
          <w:tcPr>
            <w:tcW w:w="112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73"/>
        </w:trPr>
        <w:tc>
          <w:tcPr>
            <w:tcW w:w="326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880" w:type="dxa"/>
            <w:vAlign w:val="bottom"/>
            <w:tcBorders>
              <w:bottom w:val="single" w:sz="8" w:color="auto"/>
            </w:tcBorders>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180" w:type="dxa"/>
            <w:vAlign w:val="bottom"/>
            <w:tcBorders>
              <w:bottom w:val="single" w:sz="8" w:color="auto"/>
            </w:tcBorders>
          </w:tcPr>
          <w:p>
            <w:pPr>
              <w:spacing w:after="0"/>
              <w:rPr>
                <w:sz w:val="15"/>
                <w:szCs w:val="15"/>
                <w:color w:val="auto"/>
              </w:rPr>
            </w:pPr>
          </w:p>
        </w:tc>
        <w:tc>
          <w:tcPr>
            <w:tcW w:w="920" w:type="dxa"/>
            <w:vAlign w:val="bottom"/>
            <w:tcBorders>
              <w:bottom w:val="single" w:sz="8" w:color="auto"/>
            </w:tcBorders>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1540" w:type="dxa"/>
            <w:vAlign w:val="bottom"/>
            <w:tcBorders>
              <w:bottom w:val="single" w:sz="8" w:color="auto"/>
            </w:tcBorders>
            <w:gridSpan w:val="3"/>
          </w:tcPr>
          <w:p>
            <w:pPr>
              <w:jc w:val="center"/>
              <w:ind w:left="659"/>
              <w:spacing w:after="0"/>
              <w:rPr>
                <w:sz w:val="20"/>
                <w:szCs w:val="20"/>
                <w:color w:val="auto"/>
              </w:rPr>
            </w:pPr>
            <w:r>
              <w:rPr>
                <w:rFonts w:ascii="Times New Roman" w:cs="Times New Roman" w:eastAsia="Times New Roman" w:hAnsi="Times New Roman"/>
                <w:sz w:val="14"/>
                <w:szCs w:val="14"/>
                <w:b w:val="1"/>
                <w:bCs w:val="1"/>
                <w:color w:val="auto"/>
              </w:rPr>
              <w:t>(unaudited)</w:t>
            </w:r>
          </w:p>
        </w:tc>
        <w:tc>
          <w:tcPr>
            <w:tcW w:w="800" w:type="dxa"/>
            <w:vAlign w:val="bottom"/>
            <w:tcBorders>
              <w:bottom w:val="single" w:sz="8" w:color="auto"/>
            </w:tcBorders>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120" w:type="dxa"/>
            <w:vAlign w:val="bottom"/>
            <w:tcBorders>
              <w:bottom w:val="single" w:sz="8" w:color="auto"/>
            </w:tcBorders>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1080" w:type="dxa"/>
            <w:vAlign w:val="bottom"/>
            <w:tcBorders>
              <w:bottom w:val="single" w:sz="8" w:color="auto"/>
            </w:tcBorders>
          </w:tcPr>
          <w:p>
            <w:pPr>
              <w:spacing w:after="0"/>
              <w:rPr>
                <w:sz w:val="15"/>
                <w:szCs w:val="15"/>
                <w:color w:val="auto"/>
              </w:rPr>
            </w:pPr>
          </w:p>
        </w:tc>
        <w:tc>
          <w:tcPr>
            <w:tcW w:w="1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7"/>
        </w:trPr>
        <w:tc>
          <w:tcPr>
            <w:tcW w:w="326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1120" w:type="dxa"/>
            <w:vAlign w:val="bottom"/>
            <w:gridSpan w:val="2"/>
          </w:tcPr>
          <w:p>
            <w:pPr>
              <w:jc w:val="center"/>
              <w:ind w:right="400"/>
              <w:spacing w:after="0" w:line="118" w:lineRule="exact"/>
              <w:rPr>
                <w:sz w:val="20"/>
                <w:szCs w:val="20"/>
                <w:color w:val="auto"/>
              </w:rPr>
            </w:pPr>
            <w:r>
              <w:rPr>
                <w:rFonts w:ascii="Times New Roman" w:cs="Times New Roman" w:eastAsia="Times New Roman" w:hAnsi="Times New Roman"/>
                <w:sz w:val="13"/>
                <w:szCs w:val="13"/>
                <w:b w:val="1"/>
                <w:bCs w:val="1"/>
                <w:color w:val="auto"/>
              </w:rPr>
              <w:t>Foreign</w:t>
            </w:r>
          </w:p>
        </w:tc>
        <w:tc>
          <w:tcPr>
            <w:tcW w:w="120" w:type="dxa"/>
            <w:vAlign w:val="bottom"/>
          </w:tcPr>
          <w:p>
            <w:pPr>
              <w:spacing w:after="0"/>
              <w:rPr>
                <w:sz w:val="10"/>
                <w:szCs w:val="10"/>
                <w:color w:val="auto"/>
              </w:rPr>
            </w:pPr>
          </w:p>
        </w:tc>
        <w:tc>
          <w:tcPr>
            <w:tcW w:w="1000" w:type="dxa"/>
            <w:vAlign w:val="bottom"/>
            <w:vMerge w:val="restart"/>
          </w:tcPr>
          <w:p>
            <w:pPr>
              <w:jc w:val="center"/>
              <w:ind w:right="39"/>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20" w:type="dxa"/>
            <w:vAlign w:val="bottom"/>
          </w:tcPr>
          <w:p>
            <w:pPr>
              <w:spacing w:after="0"/>
              <w:rPr>
                <w:sz w:val="10"/>
                <w:szCs w:val="10"/>
                <w:color w:val="auto"/>
              </w:rPr>
            </w:pPr>
          </w:p>
        </w:tc>
        <w:tc>
          <w:tcPr>
            <w:tcW w:w="320" w:type="dxa"/>
            <w:vAlign w:val="bottom"/>
          </w:tcPr>
          <w:p>
            <w:pPr>
              <w:spacing w:after="0"/>
              <w:rPr>
                <w:sz w:val="10"/>
                <w:szCs w:val="10"/>
                <w:color w:val="auto"/>
              </w:rPr>
            </w:pPr>
          </w:p>
        </w:tc>
        <w:tc>
          <w:tcPr>
            <w:tcW w:w="80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120" w:type="dxa"/>
            <w:vAlign w:val="bottom"/>
          </w:tcPr>
          <w:p>
            <w:pPr>
              <w:spacing w:after="0"/>
              <w:rPr>
                <w:sz w:val="10"/>
                <w:szCs w:val="10"/>
                <w:color w:val="auto"/>
              </w:rPr>
            </w:pPr>
          </w:p>
        </w:tc>
        <w:tc>
          <w:tcPr>
            <w:tcW w:w="300" w:type="dxa"/>
            <w:vAlign w:val="bottom"/>
          </w:tcPr>
          <w:p>
            <w:pPr>
              <w:spacing w:after="0"/>
              <w:rPr>
                <w:sz w:val="10"/>
                <w:szCs w:val="10"/>
                <w:color w:val="auto"/>
              </w:rPr>
            </w:pPr>
          </w:p>
        </w:tc>
        <w:tc>
          <w:tcPr>
            <w:tcW w:w="1080" w:type="dxa"/>
            <w:vAlign w:val="bottom"/>
          </w:tcPr>
          <w:p>
            <w:pPr>
              <w:jc w:val="center"/>
              <w:spacing w:after="0" w:line="118" w:lineRule="exact"/>
              <w:rPr>
                <w:sz w:val="20"/>
                <w:szCs w:val="20"/>
                <w:color w:val="auto"/>
              </w:rPr>
            </w:pPr>
            <w:r>
              <w:rPr>
                <w:rFonts w:ascii="Times New Roman" w:cs="Times New Roman" w:eastAsia="Times New Roman" w:hAnsi="Times New Roman"/>
                <w:sz w:val="13"/>
                <w:szCs w:val="13"/>
                <w:b w:val="1"/>
                <w:bCs w:val="1"/>
                <w:color w:val="auto"/>
              </w:rPr>
              <w:t>Non-GAAP</w:t>
            </w:r>
          </w:p>
        </w:tc>
        <w:tc>
          <w:tcPr>
            <w:tcW w:w="1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9"/>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120" w:type="dxa"/>
            <w:vAlign w:val="bottom"/>
            <w:gridSpan w:val="2"/>
          </w:tcPr>
          <w:p>
            <w:pPr>
              <w:jc w:val="center"/>
              <w:ind w:right="40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20" w:type="dxa"/>
            <w:vAlign w:val="bottom"/>
          </w:tcPr>
          <w:p>
            <w:pPr>
              <w:spacing w:after="0"/>
              <w:rPr>
                <w:sz w:val="12"/>
                <w:szCs w:val="12"/>
                <w:color w:val="auto"/>
              </w:rPr>
            </w:pPr>
          </w:p>
        </w:tc>
        <w:tc>
          <w:tcPr>
            <w:tcW w:w="100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420" w:type="dxa"/>
            <w:vAlign w:val="bottom"/>
            <w:gridSpan w:val="2"/>
            <w:vMerge w:val="restart"/>
          </w:tcPr>
          <w:p>
            <w:pPr>
              <w:jc w:val="center"/>
              <w:ind w:right="28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260" w:type="dxa"/>
            <w:vAlign w:val="bottom"/>
            <w:gridSpan w:val="2"/>
          </w:tcPr>
          <w:p>
            <w:pPr>
              <w:jc w:val="center"/>
              <w:ind w:right="18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8"/>
        </w:trPr>
        <w:tc>
          <w:tcPr>
            <w:tcW w:w="3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80" w:type="dxa"/>
            <w:vAlign w:val="bottom"/>
            <w:vMerge w:val="restart"/>
          </w:tcPr>
          <w:p>
            <w:pPr>
              <w:jc w:val="center"/>
              <w:ind w:right="11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120" w:type="dxa"/>
            <w:vAlign w:val="bottom"/>
            <w:gridSpan w:val="2"/>
          </w:tcPr>
          <w:p>
            <w:pPr>
              <w:jc w:val="center"/>
              <w:ind w:right="400"/>
              <w:spacing w:after="0" w:line="149" w:lineRule="exact"/>
              <w:rPr>
                <w:sz w:val="20"/>
                <w:szCs w:val="20"/>
                <w:color w:val="auto"/>
              </w:rPr>
            </w:pPr>
            <w:r>
              <w:rPr>
                <w:rFonts w:ascii="Times New Roman" w:cs="Times New Roman" w:eastAsia="Times New Roman" w:hAnsi="Times New Roman"/>
                <w:sz w:val="14"/>
                <w:szCs w:val="14"/>
                <w:b w:val="1"/>
                <w:bCs w:val="1"/>
                <w:color w:val="auto"/>
              </w:rPr>
              <w:t>Exchange</w:t>
            </w:r>
          </w:p>
        </w:tc>
        <w:tc>
          <w:tcPr>
            <w:tcW w:w="120" w:type="dxa"/>
            <w:vAlign w:val="bottom"/>
          </w:tcPr>
          <w:p>
            <w:pPr>
              <w:spacing w:after="0"/>
              <w:rPr>
                <w:sz w:val="12"/>
                <w:szCs w:val="12"/>
                <w:color w:val="auto"/>
              </w:rPr>
            </w:pPr>
          </w:p>
        </w:tc>
        <w:tc>
          <w:tcPr>
            <w:tcW w:w="1000" w:type="dxa"/>
            <w:vAlign w:val="bottom"/>
          </w:tcPr>
          <w:p>
            <w:pPr>
              <w:jc w:val="center"/>
              <w:ind w:right="39"/>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20" w:type="dxa"/>
            <w:vAlign w:val="bottom"/>
          </w:tcPr>
          <w:p>
            <w:pPr>
              <w:spacing w:after="0"/>
              <w:rPr>
                <w:sz w:val="12"/>
                <w:szCs w:val="12"/>
                <w:color w:val="auto"/>
              </w:rPr>
            </w:pPr>
          </w:p>
        </w:tc>
        <w:tc>
          <w:tcPr>
            <w:tcW w:w="320" w:type="dxa"/>
            <w:vAlign w:val="bottom"/>
          </w:tcPr>
          <w:p>
            <w:pPr>
              <w:spacing w:after="0"/>
              <w:rPr>
                <w:sz w:val="12"/>
                <w:szCs w:val="12"/>
                <w:color w:val="auto"/>
              </w:rPr>
            </w:pPr>
          </w:p>
        </w:tc>
        <w:tc>
          <w:tcPr>
            <w:tcW w:w="800" w:type="dxa"/>
            <w:vAlign w:val="bottom"/>
            <w:vMerge w:val="restart"/>
          </w:tcPr>
          <w:p>
            <w:pPr>
              <w:jc w:val="center"/>
              <w:ind w:right="235"/>
              <w:spacing w:after="0"/>
              <w:rPr>
                <w:sz w:val="20"/>
                <w:szCs w:val="20"/>
                <w:color w:val="auto"/>
              </w:rPr>
            </w:pPr>
            <w:r>
              <w:rPr>
                <w:rFonts w:ascii="Times New Roman" w:cs="Times New Roman" w:eastAsia="Times New Roman" w:hAnsi="Times New Roman"/>
                <w:sz w:val="14"/>
                <w:szCs w:val="14"/>
                <w:b w:val="1"/>
                <w:bCs w:val="1"/>
                <w:color w:val="auto"/>
              </w:rPr>
              <w:t>GAAP</w:t>
            </w:r>
          </w:p>
        </w:tc>
        <w:tc>
          <w:tcPr>
            <w:tcW w:w="200" w:type="dxa"/>
            <w:vAlign w:val="bottom"/>
          </w:tcPr>
          <w:p>
            <w:pPr>
              <w:spacing w:after="0"/>
              <w:rPr>
                <w:sz w:val="12"/>
                <w:szCs w:val="12"/>
                <w:color w:val="auto"/>
              </w:rPr>
            </w:pPr>
          </w:p>
        </w:tc>
        <w:tc>
          <w:tcPr>
            <w:tcW w:w="1420" w:type="dxa"/>
            <w:vAlign w:val="bottom"/>
            <w:gridSpan w:val="2"/>
            <w:vMerge w:val="continue"/>
          </w:tcPr>
          <w:p>
            <w:pPr>
              <w:spacing w:after="0"/>
              <w:rPr>
                <w:sz w:val="12"/>
                <w:szCs w:val="12"/>
                <w:color w:val="auto"/>
              </w:rPr>
            </w:pPr>
          </w:p>
        </w:tc>
        <w:tc>
          <w:tcPr>
            <w:tcW w:w="1260" w:type="dxa"/>
            <w:vAlign w:val="bottom"/>
            <w:gridSpan w:val="2"/>
          </w:tcPr>
          <w:p>
            <w:pPr>
              <w:jc w:val="center"/>
              <w:ind w:right="1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0" w:type="dxa"/>
            <w:vAlign w:val="bottom"/>
          </w:tcPr>
          <w:p>
            <w:pPr>
              <w:spacing w:after="0"/>
              <w:rPr>
                <w:sz w:val="1"/>
                <w:szCs w:val="1"/>
                <w:color w:val="auto"/>
              </w:rPr>
            </w:pPr>
          </w:p>
        </w:tc>
      </w:tr>
      <w:tr>
        <w:trPr>
          <w:trHeight w:val="173"/>
        </w:trPr>
        <w:tc>
          <w:tcPr>
            <w:tcW w:w="32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880" w:type="dxa"/>
            <w:vAlign w:val="bottom"/>
            <w:vMerge w:val="continue"/>
          </w:tcPr>
          <w:p>
            <w:pPr>
              <w:spacing w:after="0"/>
              <w:rPr>
                <w:sz w:val="15"/>
                <w:szCs w:val="15"/>
                <w:color w:val="auto"/>
              </w:rPr>
            </w:pPr>
          </w:p>
        </w:tc>
        <w:tc>
          <w:tcPr>
            <w:tcW w:w="240" w:type="dxa"/>
            <w:vAlign w:val="bottom"/>
          </w:tcPr>
          <w:p>
            <w:pPr>
              <w:spacing w:after="0"/>
              <w:rPr>
                <w:sz w:val="15"/>
                <w:szCs w:val="15"/>
                <w:color w:val="auto"/>
              </w:rPr>
            </w:pPr>
          </w:p>
        </w:tc>
        <w:tc>
          <w:tcPr>
            <w:tcW w:w="1300" w:type="dxa"/>
            <w:vAlign w:val="bottom"/>
            <w:gridSpan w:val="3"/>
          </w:tcPr>
          <w:p>
            <w:pPr>
              <w:jc w:val="center"/>
              <w:ind w:right="220"/>
              <w:spacing w:after="0"/>
              <w:rPr>
                <w:sz w:val="20"/>
                <w:szCs w:val="20"/>
                <w:color w:val="auto"/>
              </w:rPr>
            </w:pPr>
            <w:r>
              <w:rPr>
                <w:rFonts w:ascii="Times New Roman" w:cs="Times New Roman" w:eastAsia="Times New Roman" w:hAnsi="Times New Roman"/>
                <w:sz w:val="14"/>
                <w:szCs w:val="14"/>
                <w:b w:val="1"/>
                <w:bCs w:val="1"/>
                <w:color w:val="auto"/>
              </w:rPr>
              <w:t>Rate Impact (1)</w:t>
            </w:r>
          </w:p>
        </w:tc>
        <w:tc>
          <w:tcPr>
            <w:tcW w:w="120" w:type="dxa"/>
            <w:vAlign w:val="bottom"/>
          </w:tcPr>
          <w:p>
            <w:pPr>
              <w:spacing w:after="0"/>
              <w:rPr>
                <w:sz w:val="15"/>
                <w:szCs w:val="15"/>
                <w:color w:val="auto"/>
              </w:rPr>
            </w:pPr>
          </w:p>
        </w:tc>
        <w:tc>
          <w:tcPr>
            <w:tcW w:w="1000" w:type="dxa"/>
            <w:vAlign w:val="bottom"/>
          </w:tcPr>
          <w:p>
            <w:pPr>
              <w:jc w:val="center"/>
              <w:ind w:right="39"/>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20" w:type="dxa"/>
            <w:vAlign w:val="bottom"/>
          </w:tcPr>
          <w:p>
            <w:pPr>
              <w:spacing w:after="0"/>
              <w:rPr>
                <w:sz w:val="15"/>
                <w:szCs w:val="15"/>
                <w:color w:val="auto"/>
              </w:rPr>
            </w:pPr>
          </w:p>
        </w:tc>
        <w:tc>
          <w:tcPr>
            <w:tcW w:w="320" w:type="dxa"/>
            <w:vAlign w:val="bottom"/>
          </w:tcPr>
          <w:p>
            <w:pPr>
              <w:spacing w:after="0"/>
              <w:rPr>
                <w:sz w:val="15"/>
                <w:szCs w:val="15"/>
                <w:color w:val="auto"/>
              </w:rPr>
            </w:pPr>
          </w:p>
        </w:tc>
        <w:tc>
          <w:tcPr>
            <w:tcW w:w="800" w:type="dxa"/>
            <w:vAlign w:val="bottom"/>
            <w:vMerge w:val="continue"/>
          </w:tcPr>
          <w:p>
            <w:pPr>
              <w:spacing w:after="0"/>
              <w:rPr>
                <w:sz w:val="15"/>
                <w:szCs w:val="15"/>
                <w:color w:val="auto"/>
              </w:rPr>
            </w:pPr>
          </w:p>
        </w:tc>
        <w:tc>
          <w:tcPr>
            <w:tcW w:w="200" w:type="dxa"/>
            <w:vAlign w:val="bottom"/>
          </w:tcPr>
          <w:p>
            <w:pPr>
              <w:spacing w:after="0"/>
              <w:rPr>
                <w:sz w:val="15"/>
                <w:szCs w:val="15"/>
                <w:color w:val="auto"/>
              </w:rPr>
            </w:pPr>
          </w:p>
        </w:tc>
        <w:tc>
          <w:tcPr>
            <w:tcW w:w="1420" w:type="dxa"/>
            <w:vAlign w:val="bottom"/>
            <w:gridSpan w:val="2"/>
          </w:tcPr>
          <w:p>
            <w:pPr>
              <w:jc w:val="center"/>
              <w:ind w:right="28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26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 Change (3)</w:t>
            </w:r>
          </w:p>
        </w:tc>
        <w:tc>
          <w:tcPr>
            <w:tcW w:w="0" w:type="dxa"/>
            <w:vAlign w:val="bottom"/>
          </w:tcPr>
          <w:p>
            <w:pPr>
              <w:spacing w:after="0"/>
              <w:rPr>
                <w:sz w:val="1"/>
                <w:szCs w:val="1"/>
                <w:color w:val="auto"/>
              </w:rPr>
            </w:pPr>
          </w:p>
        </w:tc>
      </w:tr>
      <w:tr>
        <w:trPr>
          <w:trHeight w:val="142"/>
        </w:trPr>
        <w:tc>
          <w:tcPr>
            <w:tcW w:w="3260" w:type="dxa"/>
            <w:vAlign w:val="bottom"/>
          </w:tcPr>
          <w:p>
            <w:pPr>
              <w:spacing w:after="0"/>
              <w:rPr>
                <w:sz w:val="12"/>
                <w:szCs w:val="12"/>
                <w:color w:val="auto"/>
              </w:rPr>
            </w:pPr>
          </w:p>
        </w:tc>
        <w:tc>
          <w:tcPr>
            <w:tcW w:w="220" w:type="dxa"/>
            <w:vAlign w:val="bottom"/>
            <w:tcBorders>
              <w:top w:val="single" w:sz="8" w:color="auto"/>
              <w:bottom w:val="single" w:sz="8" w:color="auto"/>
            </w:tcBorders>
          </w:tcPr>
          <w:p>
            <w:pPr>
              <w:spacing w:after="0"/>
              <w:rPr>
                <w:sz w:val="12"/>
                <w:szCs w:val="12"/>
                <w:color w:val="auto"/>
              </w:rPr>
            </w:pPr>
          </w:p>
        </w:tc>
        <w:tc>
          <w:tcPr>
            <w:tcW w:w="880" w:type="dxa"/>
            <w:vAlign w:val="bottom"/>
            <w:tcBorders>
              <w:top w:val="single" w:sz="8" w:color="auto"/>
              <w:bottom w:val="single" w:sz="8" w:color="auto"/>
            </w:tcBorders>
          </w:tcPr>
          <w:p>
            <w:pPr>
              <w:jc w:val="center"/>
              <w:ind w:right="115"/>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40" w:type="dxa"/>
            <w:vAlign w:val="bottom"/>
          </w:tcPr>
          <w:p>
            <w:pPr>
              <w:spacing w:after="0"/>
              <w:rPr>
                <w:sz w:val="12"/>
                <w:szCs w:val="12"/>
                <w:color w:val="auto"/>
              </w:rPr>
            </w:pPr>
          </w:p>
        </w:tc>
        <w:tc>
          <w:tcPr>
            <w:tcW w:w="180" w:type="dxa"/>
            <w:vAlign w:val="bottom"/>
            <w:tcBorders>
              <w:top w:val="single" w:sz="8" w:color="auto"/>
              <w:bottom w:val="single" w:sz="8" w:color="auto"/>
            </w:tcBorders>
          </w:tcPr>
          <w:p>
            <w:pPr>
              <w:spacing w:after="0"/>
              <w:rPr>
                <w:sz w:val="12"/>
                <w:szCs w:val="12"/>
                <w:color w:val="auto"/>
              </w:rPr>
            </w:pPr>
          </w:p>
        </w:tc>
        <w:tc>
          <w:tcPr>
            <w:tcW w:w="920" w:type="dxa"/>
            <w:vAlign w:val="bottom"/>
            <w:tcBorders>
              <w:top w:val="single" w:sz="8" w:color="auto"/>
              <w:bottom w:val="single" w:sz="8" w:color="auto"/>
            </w:tcBorders>
          </w:tcPr>
          <w:p>
            <w:pPr>
              <w:jc w:val="center"/>
              <w:ind w:right="118"/>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00" w:type="dxa"/>
            <w:vAlign w:val="bottom"/>
          </w:tcPr>
          <w:p>
            <w:pPr>
              <w:spacing w:after="0"/>
              <w:rPr>
                <w:sz w:val="12"/>
                <w:szCs w:val="12"/>
                <w:color w:val="auto"/>
              </w:rPr>
            </w:pPr>
          </w:p>
        </w:tc>
        <w:tc>
          <w:tcPr>
            <w:tcW w:w="120" w:type="dxa"/>
            <w:vAlign w:val="bottom"/>
            <w:tcBorders>
              <w:top w:val="single" w:sz="8" w:color="auto"/>
              <w:bottom w:val="single" w:sz="8" w:color="auto"/>
            </w:tcBorders>
          </w:tcPr>
          <w:p>
            <w:pPr>
              <w:spacing w:after="0"/>
              <w:rPr>
                <w:sz w:val="12"/>
                <w:szCs w:val="12"/>
                <w:color w:val="auto"/>
              </w:rPr>
            </w:pPr>
          </w:p>
        </w:tc>
        <w:tc>
          <w:tcPr>
            <w:tcW w:w="1000" w:type="dxa"/>
            <w:vAlign w:val="bottom"/>
            <w:tcBorders>
              <w:top w:val="single" w:sz="8" w:color="auto"/>
              <w:bottom w:val="single" w:sz="8" w:color="auto"/>
            </w:tcBorders>
          </w:tcPr>
          <w:p>
            <w:pPr>
              <w:jc w:val="center"/>
              <w:ind w:right="39"/>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220" w:type="dxa"/>
            <w:vAlign w:val="bottom"/>
          </w:tcPr>
          <w:p>
            <w:pPr>
              <w:spacing w:after="0"/>
              <w:rPr>
                <w:sz w:val="12"/>
                <w:szCs w:val="12"/>
                <w:color w:val="auto"/>
              </w:rPr>
            </w:pPr>
          </w:p>
        </w:tc>
        <w:tc>
          <w:tcPr>
            <w:tcW w:w="320" w:type="dxa"/>
            <w:vAlign w:val="bottom"/>
            <w:tcBorders>
              <w:top w:val="single" w:sz="8" w:color="auto"/>
              <w:bottom w:val="single" w:sz="8" w:color="auto"/>
            </w:tcBorders>
          </w:tcPr>
          <w:p>
            <w:pPr>
              <w:spacing w:after="0"/>
              <w:rPr>
                <w:sz w:val="12"/>
                <w:szCs w:val="12"/>
                <w:color w:val="auto"/>
              </w:rPr>
            </w:pPr>
          </w:p>
        </w:tc>
        <w:tc>
          <w:tcPr>
            <w:tcW w:w="800" w:type="dxa"/>
            <w:vAlign w:val="bottom"/>
            <w:tcBorders>
              <w:top w:val="single" w:sz="8" w:color="auto"/>
              <w:bottom w:val="single" w:sz="8" w:color="auto"/>
            </w:tcBorders>
          </w:tcPr>
          <w:p>
            <w:pPr>
              <w:jc w:val="center"/>
              <w:ind w:right="235"/>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2023</w:t>
            </w:r>
          </w:p>
        </w:tc>
        <w:tc>
          <w:tcPr>
            <w:tcW w:w="200" w:type="dxa"/>
            <w:vAlign w:val="bottom"/>
          </w:tcPr>
          <w:p>
            <w:pPr>
              <w:spacing w:after="0"/>
              <w:rPr>
                <w:sz w:val="12"/>
                <w:szCs w:val="12"/>
                <w:color w:val="auto"/>
              </w:rPr>
            </w:pPr>
          </w:p>
        </w:tc>
        <w:tc>
          <w:tcPr>
            <w:tcW w:w="112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rPr>
              <w:t>2024</w:t>
            </w:r>
          </w:p>
        </w:tc>
        <w:tc>
          <w:tcPr>
            <w:tcW w:w="300" w:type="dxa"/>
            <w:vAlign w:val="bottom"/>
          </w:tcPr>
          <w:p>
            <w:pPr>
              <w:spacing w:after="0"/>
              <w:rPr>
                <w:sz w:val="12"/>
                <w:szCs w:val="12"/>
                <w:color w:val="auto"/>
              </w:rPr>
            </w:pPr>
          </w:p>
        </w:tc>
        <w:tc>
          <w:tcPr>
            <w:tcW w:w="1080" w:type="dxa"/>
            <w:vAlign w:val="bottom"/>
            <w:tcBorders>
              <w:top w:val="single" w:sz="8" w:color="auto"/>
              <w:bottom w:val="single" w:sz="8" w:color="auto"/>
            </w:tcBorders>
          </w:tcPr>
          <w:p>
            <w:pPr>
              <w:jc w:val="center"/>
              <w:spacing w:after="0" w:line="142" w:lineRule="exact"/>
              <w:rPr>
                <w:sz w:val="20"/>
                <w:szCs w:val="20"/>
                <w:color w:val="auto"/>
              </w:rPr>
            </w:pPr>
            <w:r>
              <w:rPr>
                <w:rFonts w:ascii="Times New Roman" w:cs="Times New Roman" w:eastAsia="Times New Roman" w:hAnsi="Times New Roman"/>
                <w:sz w:val="14"/>
                <w:szCs w:val="14"/>
                <w:b w:val="1"/>
                <w:bCs w:val="1"/>
                <w:color w:val="auto"/>
                <w:w w:val="99"/>
              </w:rPr>
              <w:t>2024</w:t>
            </w:r>
          </w:p>
        </w:tc>
        <w:tc>
          <w:tcPr>
            <w:tcW w:w="1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92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120" w:type="dxa"/>
            <w:vAlign w:val="bottom"/>
            <w:shd w:val="clear" w:color="auto" w:fill="CFF0FC"/>
          </w:tcPr>
          <w:p>
            <w:pPr>
              <w:spacing w:after="0"/>
              <w:rPr>
                <w:sz w:val="18"/>
                <w:szCs w:val="18"/>
                <w:color w:val="auto"/>
              </w:rPr>
            </w:pPr>
          </w:p>
        </w:tc>
        <w:tc>
          <w:tcPr>
            <w:tcW w:w="300" w:type="dxa"/>
            <w:vAlign w:val="bottom"/>
            <w:shd w:val="clear" w:color="auto" w:fill="CFF0FC"/>
          </w:tcPr>
          <w:p>
            <w:pPr>
              <w:spacing w:after="0"/>
              <w:rPr>
                <w:sz w:val="18"/>
                <w:szCs w:val="18"/>
                <w:color w:val="auto"/>
              </w:rPr>
            </w:pPr>
          </w:p>
        </w:tc>
        <w:tc>
          <w:tcPr>
            <w:tcW w:w="108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48,567</w:t>
            </w:r>
          </w:p>
        </w:tc>
        <w:tc>
          <w:tcPr>
            <w:tcW w:w="420" w:type="dxa"/>
            <w:vAlign w:val="bottom"/>
            <w:gridSpan w:val="2"/>
          </w:tcPr>
          <w:p>
            <w:pPr>
              <w:jc w:val="right"/>
              <w:ind w:right="8"/>
              <w:spacing w:after="0"/>
              <w:rPr>
                <w:sz w:val="20"/>
                <w:szCs w:val="20"/>
                <w:color w:val="auto"/>
              </w:rPr>
            </w:pPr>
            <w:r>
              <w:rPr>
                <w:rFonts w:ascii="Times New Roman" w:cs="Times New Roman" w:eastAsia="Times New Roman" w:hAnsi="Times New Roman"/>
                <w:sz w:val="18"/>
                <w:szCs w:val="18"/>
                <w:color w:val="auto"/>
              </w:rPr>
              <w:t>$</w:t>
            </w:r>
          </w:p>
        </w:tc>
        <w:tc>
          <w:tcPr>
            <w:tcW w:w="11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(504 )</w:t>
            </w: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49,071</w:t>
            </w:r>
          </w:p>
        </w:tc>
        <w:tc>
          <w:tcPr>
            <w:tcW w:w="540" w:type="dxa"/>
            <w:vAlign w:val="bottom"/>
            <w:gridSpan w:val="2"/>
          </w:tcPr>
          <w:p>
            <w:pPr>
              <w:jc w:val="right"/>
              <w:ind w:right="22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75,351</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-35.5 %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-34.9 %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106,776</w:t>
            </w: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w:t>
            </w:r>
          </w:p>
        </w:tc>
        <w:tc>
          <w:tcPr>
            <w:tcW w:w="200" w:type="dxa"/>
            <w:vAlign w:val="bottom"/>
            <w:shd w:val="clear" w:color="auto" w:fill="CFF0FC"/>
          </w:tcPr>
          <w:p>
            <w:pPr>
              <w:spacing w:after="0"/>
              <w:rPr>
                <w:sz w:val="18"/>
                <w:szCs w:val="18"/>
                <w:color w:val="auto"/>
              </w:rPr>
            </w:pP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106,711</w:t>
            </w: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81,179</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31.5 %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31.5 %</w:t>
            </w:r>
          </w:p>
        </w:tc>
        <w:tc>
          <w:tcPr>
            <w:tcW w:w="0" w:type="dxa"/>
            <w:vAlign w:val="bottom"/>
          </w:tcPr>
          <w:p>
            <w:pPr>
              <w:spacing w:after="0"/>
              <w:rPr>
                <w:sz w:val="1"/>
                <w:szCs w:val="1"/>
                <w:color w:val="auto"/>
              </w:rPr>
            </w:pPr>
          </w:p>
        </w:tc>
      </w:tr>
      <w:tr>
        <w:trPr>
          <w:trHeight w:val="198"/>
        </w:trPr>
        <w:tc>
          <w:tcPr>
            <w:tcW w:w="3260" w:type="dxa"/>
            <w:vAlign w:val="bottom"/>
          </w:tcPr>
          <w:p>
            <w:pPr>
              <w:ind w:left="80"/>
              <w:spacing w:after="0" w:line="198" w:lineRule="exact"/>
              <w:rPr>
                <w:sz w:val="20"/>
                <w:szCs w:val="20"/>
                <w:color w:val="auto"/>
              </w:rPr>
            </w:pPr>
            <w:r>
              <w:rPr>
                <w:rFonts w:ascii="Times New Roman" w:cs="Times New Roman" w:eastAsia="Times New Roman" w:hAnsi="Times New Roman"/>
                <w:sz w:val="18"/>
                <w:szCs w:val="18"/>
                <w:color w:val="auto"/>
              </w:rPr>
              <w:t>Total product licenses and subscription</w:t>
            </w:r>
          </w:p>
        </w:tc>
        <w:tc>
          <w:tcPr>
            <w:tcW w:w="220" w:type="dxa"/>
            <w:vAlign w:val="bottom"/>
          </w:tcPr>
          <w:p>
            <w:pPr>
              <w:spacing w:after="0"/>
              <w:rPr>
                <w:sz w:val="17"/>
                <w:szCs w:val="17"/>
                <w:color w:val="auto"/>
              </w:rPr>
            </w:pPr>
          </w:p>
        </w:tc>
        <w:tc>
          <w:tcPr>
            <w:tcW w:w="880" w:type="dxa"/>
            <w:vAlign w:val="bottom"/>
          </w:tcPr>
          <w:p>
            <w:pPr>
              <w:jc w:val="right"/>
              <w:spacing w:after="0" w:line="198" w:lineRule="exact"/>
              <w:rPr>
                <w:sz w:val="20"/>
                <w:szCs w:val="20"/>
                <w:color w:val="auto"/>
              </w:rPr>
            </w:pPr>
            <w:r>
              <w:rPr>
                <w:rFonts w:ascii="Times New Roman" w:cs="Times New Roman" w:eastAsia="Times New Roman" w:hAnsi="Times New Roman"/>
                <w:sz w:val="18"/>
                <w:szCs w:val="18"/>
                <w:color w:val="auto"/>
              </w:rPr>
              <w:t>155,343</w:t>
            </w:r>
          </w:p>
        </w:tc>
        <w:tc>
          <w:tcPr>
            <w:tcW w:w="24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1120" w:type="dxa"/>
            <w:vAlign w:val="bottom"/>
            <w:gridSpan w:val="2"/>
          </w:tcPr>
          <w:p>
            <w:pPr>
              <w:jc w:val="right"/>
              <w:ind w:right="140"/>
              <w:spacing w:after="0" w:line="198" w:lineRule="exact"/>
              <w:rPr>
                <w:sz w:val="20"/>
                <w:szCs w:val="20"/>
                <w:color w:val="auto"/>
              </w:rPr>
            </w:pPr>
            <w:r>
              <w:rPr>
                <w:rFonts w:ascii="Times New Roman" w:cs="Times New Roman" w:eastAsia="Times New Roman" w:hAnsi="Times New Roman"/>
                <w:sz w:val="18"/>
                <w:szCs w:val="18"/>
                <w:color w:val="auto"/>
              </w:rPr>
              <w:t>(439 )</w:t>
            </w:r>
          </w:p>
        </w:tc>
        <w:tc>
          <w:tcPr>
            <w:tcW w:w="120" w:type="dxa"/>
            <w:vAlign w:val="bottom"/>
          </w:tcPr>
          <w:p>
            <w:pPr>
              <w:spacing w:after="0"/>
              <w:rPr>
                <w:sz w:val="17"/>
                <w:szCs w:val="17"/>
                <w:color w:val="auto"/>
              </w:rPr>
            </w:pPr>
          </w:p>
        </w:tc>
        <w:tc>
          <w:tcPr>
            <w:tcW w:w="1000" w:type="dxa"/>
            <w:vAlign w:val="bottom"/>
          </w:tcPr>
          <w:p>
            <w:pPr>
              <w:jc w:val="right"/>
              <w:spacing w:after="0" w:line="198" w:lineRule="exact"/>
              <w:rPr>
                <w:sz w:val="20"/>
                <w:szCs w:val="20"/>
                <w:color w:val="auto"/>
              </w:rPr>
            </w:pPr>
            <w:r>
              <w:rPr>
                <w:rFonts w:ascii="Times New Roman" w:cs="Times New Roman" w:eastAsia="Times New Roman" w:hAnsi="Times New Roman"/>
                <w:sz w:val="18"/>
                <w:szCs w:val="18"/>
                <w:color w:val="auto"/>
              </w:rPr>
              <w:t>155,782</w:t>
            </w:r>
          </w:p>
        </w:tc>
        <w:tc>
          <w:tcPr>
            <w:tcW w:w="220" w:type="dxa"/>
            <w:vAlign w:val="bottom"/>
          </w:tcPr>
          <w:p>
            <w:pPr>
              <w:spacing w:after="0"/>
              <w:rPr>
                <w:sz w:val="17"/>
                <w:szCs w:val="17"/>
                <w:color w:val="auto"/>
              </w:rPr>
            </w:pPr>
          </w:p>
        </w:tc>
        <w:tc>
          <w:tcPr>
            <w:tcW w:w="320" w:type="dxa"/>
            <w:vAlign w:val="bottom"/>
          </w:tcPr>
          <w:p>
            <w:pPr>
              <w:spacing w:after="0"/>
              <w:rPr>
                <w:sz w:val="17"/>
                <w:szCs w:val="17"/>
                <w:color w:val="auto"/>
              </w:rPr>
            </w:pPr>
          </w:p>
        </w:tc>
        <w:tc>
          <w:tcPr>
            <w:tcW w:w="800" w:type="dxa"/>
            <w:vAlign w:val="bottom"/>
          </w:tcPr>
          <w:p>
            <w:pPr>
              <w:jc w:val="right"/>
              <w:spacing w:after="0" w:line="198" w:lineRule="exact"/>
              <w:rPr>
                <w:sz w:val="20"/>
                <w:szCs w:val="20"/>
                <w:color w:val="auto"/>
              </w:rPr>
            </w:pPr>
            <w:r>
              <w:rPr>
                <w:rFonts w:ascii="Times New Roman" w:cs="Times New Roman" w:eastAsia="Times New Roman" w:hAnsi="Times New Roman"/>
                <w:sz w:val="18"/>
                <w:szCs w:val="18"/>
                <w:color w:val="auto"/>
              </w:rPr>
              <w:t>156,530</w:t>
            </w:r>
          </w:p>
        </w:tc>
        <w:tc>
          <w:tcPr>
            <w:tcW w:w="1620" w:type="dxa"/>
            <w:vAlign w:val="bottom"/>
            <w:gridSpan w:val="3"/>
          </w:tcPr>
          <w:p>
            <w:pPr>
              <w:jc w:val="right"/>
              <w:ind w:right="120"/>
              <w:spacing w:after="0" w:line="198" w:lineRule="exact"/>
              <w:rPr>
                <w:sz w:val="20"/>
                <w:szCs w:val="20"/>
                <w:color w:val="auto"/>
              </w:rPr>
            </w:pPr>
            <w:r>
              <w:rPr>
                <w:rFonts w:ascii="Times New Roman" w:cs="Times New Roman" w:eastAsia="Times New Roman" w:hAnsi="Times New Roman"/>
                <w:sz w:val="18"/>
                <w:szCs w:val="18"/>
                <w:color w:val="auto"/>
              </w:rPr>
              <w:t>-0.8 %</w:t>
            </w:r>
          </w:p>
        </w:tc>
        <w:tc>
          <w:tcPr>
            <w:tcW w:w="1260" w:type="dxa"/>
            <w:vAlign w:val="bottom"/>
            <w:gridSpan w:val="2"/>
          </w:tcPr>
          <w:p>
            <w:pPr>
              <w:jc w:val="right"/>
              <w:ind w:right="20"/>
              <w:spacing w:after="0" w:line="198" w:lineRule="exact"/>
              <w:rPr>
                <w:sz w:val="20"/>
                <w:szCs w:val="20"/>
                <w:color w:val="auto"/>
              </w:rPr>
            </w:pPr>
            <w:r>
              <w:rPr>
                <w:rFonts w:ascii="Times New Roman" w:cs="Times New Roman" w:eastAsia="Times New Roman" w:hAnsi="Times New Roman"/>
                <w:sz w:val="18"/>
                <w:szCs w:val="18"/>
                <w:color w:val="auto"/>
              </w:rPr>
              <w:t>-0.5 %</w:t>
            </w:r>
          </w:p>
        </w:tc>
        <w:tc>
          <w:tcPr>
            <w:tcW w:w="0" w:type="dxa"/>
            <w:vAlign w:val="bottom"/>
          </w:tcPr>
          <w:p>
            <w:pPr>
              <w:spacing w:after="0"/>
              <w:rPr>
                <w:sz w:val="1"/>
                <w:szCs w:val="1"/>
                <w:color w:val="auto"/>
              </w:rPr>
            </w:pPr>
          </w:p>
        </w:tc>
      </w:tr>
      <w:tr>
        <w:trPr>
          <w:trHeight w:val="234"/>
        </w:trPr>
        <w:tc>
          <w:tcPr>
            <w:tcW w:w="3260" w:type="dxa"/>
            <w:vAlign w:val="bottom"/>
          </w:tcPr>
          <w:p>
            <w:pPr>
              <w:ind w:left="80"/>
              <w:spacing w:after="0"/>
              <w:rPr>
                <w:sz w:val="20"/>
                <w:szCs w:val="20"/>
                <w:color w:val="auto"/>
              </w:rPr>
            </w:pPr>
            <w:r>
              <w:rPr>
                <w:rFonts w:ascii="Times New Roman" w:cs="Times New Roman" w:eastAsia="Times New Roman" w:hAnsi="Times New Roman"/>
                <w:sz w:val="18"/>
                <w:szCs w:val="18"/>
                <w:color w:val="auto"/>
              </w:rPr>
              <w:t>services</w:t>
            </w:r>
          </w:p>
        </w:tc>
        <w:tc>
          <w:tcPr>
            <w:tcW w:w="220" w:type="dxa"/>
            <w:vAlign w:val="bottom"/>
          </w:tcPr>
          <w:p>
            <w:pPr>
              <w:spacing w:after="0"/>
              <w:rPr>
                <w:sz w:val="20"/>
                <w:szCs w:val="20"/>
                <w:color w:val="auto"/>
              </w:rPr>
            </w:pPr>
          </w:p>
        </w:tc>
        <w:tc>
          <w:tcPr>
            <w:tcW w:w="8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92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00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8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12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10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243,805</w:t>
            </w: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1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(214 )</w:t>
            </w: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244,019</w:t>
            </w: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263,888</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-7.6 %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-7.5 %</w:t>
            </w:r>
          </w:p>
        </w:tc>
        <w:tc>
          <w:tcPr>
            <w:tcW w:w="0" w:type="dxa"/>
            <w:vAlign w:val="bottom"/>
          </w:tcPr>
          <w:p>
            <w:pPr>
              <w:spacing w:after="0"/>
              <w:rPr>
                <w:sz w:val="1"/>
                <w:szCs w:val="1"/>
                <w:color w:val="auto"/>
              </w:rPr>
            </w:pPr>
          </w:p>
        </w:tc>
      </w:tr>
      <w:tr>
        <w:trPr>
          <w:trHeight w:val="216"/>
        </w:trPr>
        <w:tc>
          <w:tcPr>
            <w:tcW w:w="32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220" w:type="dxa"/>
            <w:vAlign w:val="bottom"/>
          </w:tcPr>
          <w:p>
            <w:pPr>
              <w:spacing w:after="0"/>
              <w:rPr>
                <w:sz w:val="18"/>
                <w:szCs w:val="18"/>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64,308</w:t>
            </w:r>
          </w:p>
        </w:tc>
        <w:tc>
          <w:tcPr>
            <w:tcW w:w="240" w:type="dxa"/>
            <w:vAlign w:val="bottom"/>
          </w:tcPr>
          <w:p>
            <w:pPr>
              <w:spacing w:after="0"/>
              <w:rPr>
                <w:sz w:val="18"/>
                <w:szCs w:val="18"/>
                <w:color w:val="auto"/>
              </w:rPr>
            </w:pPr>
          </w:p>
        </w:tc>
        <w:tc>
          <w:tcPr>
            <w:tcW w:w="180" w:type="dxa"/>
            <w:vAlign w:val="bottom"/>
          </w:tcPr>
          <w:p>
            <w:pPr>
              <w:spacing w:after="0"/>
              <w:rPr>
                <w:sz w:val="18"/>
                <w:szCs w:val="18"/>
                <w:color w:val="auto"/>
              </w:rPr>
            </w:pPr>
          </w:p>
        </w:tc>
        <w:tc>
          <w:tcPr>
            <w:tcW w:w="11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(43 )</w:t>
            </w:r>
          </w:p>
        </w:tc>
        <w:tc>
          <w:tcPr>
            <w:tcW w:w="120" w:type="dxa"/>
            <w:vAlign w:val="bottom"/>
          </w:tcPr>
          <w:p>
            <w:pPr>
              <w:spacing w:after="0"/>
              <w:rPr>
                <w:sz w:val="18"/>
                <w:szCs w:val="18"/>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64,351</w:t>
            </w:r>
          </w:p>
        </w:tc>
        <w:tc>
          <w:tcPr>
            <w:tcW w:w="220" w:type="dxa"/>
            <w:vAlign w:val="bottom"/>
          </w:tcPr>
          <w:p>
            <w:pPr>
              <w:spacing w:after="0"/>
              <w:rPr>
                <w:sz w:val="18"/>
                <w:szCs w:val="18"/>
                <w:color w:val="auto"/>
              </w:rPr>
            </w:pPr>
          </w:p>
        </w:tc>
        <w:tc>
          <w:tcPr>
            <w:tcW w:w="320" w:type="dxa"/>
            <w:vAlign w:val="bottom"/>
          </w:tcPr>
          <w:p>
            <w:pPr>
              <w:spacing w:after="0"/>
              <w:rPr>
                <w:sz w:val="18"/>
                <w:szCs w:val="18"/>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75,843</w:t>
            </w:r>
          </w:p>
        </w:tc>
        <w:tc>
          <w:tcPr>
            <w:tcW w:w="1620" w:type="dxa"/>
            <w:vAlign w:val="bottom"/>
            <w:gridSpan w:val="3"/>
          </w:tcPr>
          <w:p>
            <w:pPr>
              <w:jc w:val="right"/>
              <w:ind w:right="120"/>
              <w:spacing w:after="0"/>
              <w:rPr>
                <w:sz w:val="20"/>
                <w:szCs w:val="20"/>
                <w:color w:val="auto"/>
              </w:rPr>
            </w:pPr>
            <w:r>
              <w:rPr>
                <w:rFonts w:ascii="Times New Roman" w:cs="Times New Roman" w:eastAsia="Times New Roman" w:hAnsi="Times New Roman"/>
                <w:sz w:val="18"/>
                <w:szCs w:val="18"/>
                <w:color w:val="auto"/>
              </w:rPr>
              <w:t>-15.2 %</w:t>
            </w:r>
          </w:p>
        </w:tc>
        <w:tc>
          <w:tcPr>
            <w:tcW w:w="12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-15.2 %</w:t>
            </w:r>
          </w:p>
        </w:tc>
        <w:tc>
          <w:tcPr>
            <w:tcW w:w="0" w:type="dxa"/>
            <w:vAlign w:val="bottom"/>
          </w:tcPr>
          <w:p>
            <w:pPr>
              <w:spacing w:after="0"/>
              <w:rPr>
                <w:sz w:val="1"/>
                <w:szCs w:val="1"/>
                <w:color w:val="auto"/>
              </w:rPr>
            </w:pPr>
          </w:p>
        </w:tc>
      </w:tr>
      <w:tr>
        <w:trPr>
          <w:trHeight w:val="216"/>
        </w:trPr>
        <w:tc>
          <w:tcPr>
            <w:tcW w:w="326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220" w:type="dxa"/>
            <w:vAlign w:val="bottom"/>
            <w:shd w:val="clear" w:color="auto" w:fill="CFF0FC"/>
          </w:tcPr>
          <w:p>
            <w:pPr>
              <w:spacing w:after="0"/>
              <w:rPr>
                <w:sz w:val="18"/>
                <w:szCs w:val="18"/>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463,456</w:t>
            </w:r>
          </w:p>
        </w:tc>
        <w:tc>
          <w:tcPr>
            <w:tcW w:w="24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11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(696 )</w:t>
            </w:r>
          </w:p>
        </w:tc>
        <w:tc>
          <w:tcPr>
            <w:tcW w:w="120" w:type="dxa"/>
            <w:vAlign w:val="bottom"/>
            <w:shd w:val="clear" w:color="auto" w:fill="CFF0FC"/>
          </w:tcPr>
          <w:p>
            <w:pPr>
              <w:spacing w:after="0"/>
              <w:rPr>
                <w:sz w:val="18"/>
                <w:szCs w:val="18"/>
                <w:color w:val="auto"/>
              </w:rPr>
            </w:pP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464,152</w:t>
            </w:r>
          </w:p>
        </w:tc>
        <w:tc>
          <w:tcPr>
            <w:tcW w:w="220" w:type="dxa"/>
            <w:vAlign w:val="bottom"/>
            <w:shd w:val="clear" w:color="auto" w:fill="CFF0FC"/>
          </w:tcPr>
          <w:p>
            <w:pPr>
              <w:spacing w:after="0"/>
              <w:rPr>
                <w:sz w:val="18"/>
                <w:szCs w:val="18"/>
                <w:color w:val="auto"/>
              </w:rPr>
            </w:pPr>
          </w:p>
        </w:tc>
        <w:tc>
          <w:tcPr>
            <w:tcW w:w="3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496,261</w:t>
            </w:r>
          </w:p>
        </w:tc>
        <w:tc>
          <w:tcPr>
            <w:tcW w:w="1620" w:type="dxa"/>
            <w:vAlign w:val="bottom"/>
            <w:gridSpan w:val="3"/>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-6.6 %</w:t>
            </w:r>
          </w:p>
        </w:tc>
        <w:tc>
          <w:tcPr>
            <w:tcW w:w="1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-6.5 %</w:t>
            </w:r>
          </w:p>
        </w:tc>
        <w:tc>
          <w:tcPr>
            <w:tcW w:w="0" w:type="dxa"/>
            <w:vAlign w:val="bottom"/>
          </w:tcPr>
          <w:p>
            <w:pPr>
              <w:spacing w:after="0"/>
              <w:rPr>
                <w:sz w:val="1"/>
                <w:szCs w:val="1"/>
                <w:color w:val="auto"/>
              </w:rPr>
            </w:pPr>
          </w:p>
        </w:tc>
      </w:tr>
    </w:tbl>
    <w:p>
      <w:pPr>
        <w:spacing w:after="0" w:line="198" w:lineRule="exact"/>
        <w:rPr>
          <w:sz w:val="20"/>
          <w:szCs w:val="20"/>
          <w:color w:val="auto"/>
        </w:rPr>
      </w:pPr>
    </w:p>
    <w:p>
      <w:pPr>
        <w:jc w:val="both"/>
        <w:ind w:left="520" w:hanging="512"/>
        <w:spacing w:after="0" w:line="261" w:lineRule="auto"/>
        <w:tabs>
          <w:tab w:leader="none" w:pos="5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“Foreign Currency Exchange Rate Impact” reflects the estimated impact of fluctuations in foreign currency exchange rates on international revenues. It shows the increase (decrease) in international revenues from the same period in the prior year, based on comparisons to the prior year quarterly average foreign currency exchange rates. “International revenues” refers to revenues from operations outside of the United States and Canada only where the functional currency is the local currency (i.e., excluding any location whose economy is considered highly inflationary).</w:t>
      </w:r>
    </w:p>
    <w:p>
      <w:pPr>
        <w:spacing w:after="0" w:line="166" w:lineRule="exact"/>
        <w:rPr>
          <w:rFonts w:ascii="Times New Roman" w:cs="Times New Roman" w:eastAsia="Times New Roman" w:hAnsi="Times New Roman"/>
          <w:sz w:val="18"/>
          <w:szCs w:val="18"/>
          <w:color w:val="auto"/>
        </w:rPr>
      </w:pPr>
    </w:p>
    <w:p>
      <w:pPr>
        <w:ind w:left="520" w:hanging="512"/>
        <w:spacing w:after="0"/>
        <w:tabs>
          <w:tab w:leader="none" w:pos="5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“Non-GAAP Constant Currency” reflects the current period GAAP amount, less the Foreign Currency Exchange Rate Impact.</w:t>
      </w:r>
    </w:p>
    <w:p>
      <w:pPr>
        <w:spacing w:after="0" w:line="211" w:lineRule="exact"/>
        <w:rPr>
          <w:rFonts w:ascii="Times New Roman" w:cs="Times New Roman" w:eastAsia="Times New Roman" w:hAnsi="Times New Roman"/>
          <w:sz w:val="18"/>
          <w:szCs w:val="18"/>
          <w:color w:val="auto"/>
        </w:rPr>
      </w:pPr>
    </w:p>
    <w:p>
      <w:pPr>
        <w:ind w:left="520" w:hanging="512"/>
        <w:spacing w:after="0" w:line="282" w:lineRule="auto"/>
        <w:tabs>
          <w:tab w:leader="none" w:pos="5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“Non-GAAP Constant Currency % Change” reflects the percentage change between the current period Non-GAAP Constant Currency amount and the GAAP amount for the same period in the prior year.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735965</wp:posOffset>
            </wp:positionV>
            <wp:extent cx="7157720" cy="4254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7" w:name="page18"/>
    <w:bookmarkEnd w:id="17"/>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DEFERRED REVENUE DETAIL</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188"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120" w:type="dxa"/>
            <w:vAlign w:val="bottom"/>
          </w:tcPr>
          <w:p>
            <w:pPr>
              <w:spacing w:after="0"/>
              <w:rPr>
                <w:sz w:val="13"/>
                <w:szCs w:val="13"/>
                <w:color w:val="auto"/>
              </w:rPr>
            </w:pPr>
          </w:p>
        </w:tc>
        <w:tc>
          <w:tcPr>
            <w:tcW w:w="760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340" w:type="dxa"/>
            <w:vAlign w:val="bottom"/>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8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440" w:type="dxa"/>
            <w:vAlign w:val="bottom"/>
            <w:gridSpan w:val="2"/>
          </w:tcPr>
          <w:p>
            <w:pPr>
              <w:ind w:left="120"/>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0" w:type="dxa"/>
            <w:vAlign w:val="bottom"/>
          </w:tcPr>
          <w:p>
            <w:pPr>
              <w:spacing w:after="0"/>
              <w:rPr>
                <w:sz w:val="1"/>
                <w:szCs w:val="1"/>
                <w:color w:val="auto"/>
              </w:rPr>
            </w:pPr>
          </w:p>
        </w:tc>
      </w:tr>
      <w:tr>
        <w:trPr>
          <w:trHeight w:val="173"/>
        </w:trPr>
        <w:tc>
          <w:tcPr>
            <w:tcW w:w="120" w:type="dxa"/>
            <w:vAlign w:val="bottom"/>
          </w:tcPr>
          <w:p>
            <w:pPr>
              <w:spacing w:after="0"/>
              <w:rPr>
                <w:sz w:val="15"/>
                <w:szCs w:val="15"/>
                <w:color w:val="auto"/>
              </w:rPr>
            </w:pPr>
          </w:p>
        </w:tc>
        <w:tc>
          <w:tcPr>
            <w:tcW w:w="760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340" w:type="dxa"/>
            <w:vAlign w:val="bottom"/>
            <w:tcBorders>
              <w:bottom w:val="single" w:sz="8" w:color="auto"/>
            </w:tcBorders>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8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1340" w:type="dxa"/>
            <w:vAlign w:val="bottom"/>
            <w:tcBorders>
              <w:bottom w:val="single" w:sz="8" w:color="auto"/>
            </w:tcBorders>
          </w:tcPr>
          <w:p>
            <w:pPr>
              <w:jc w:val="right"/>
              <w:ind w:right="532"/>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120" w:type="dxa"/>
            <w:vAlign w:val="bottom"/>
          </w:tcPr>
          <w:p>
            <w:pPr>
              <w:spacing w:after="0"/>
              <w:rPr>
                <w:sz w:val="12"/>
                <w:szCs w:val="12"/>
                <w:color w:val="auto"/>
              </w:rPr>
            </w:pPr>
          </w:p>
        </w:tc>
        <w:tc>
          <w:tcPr>
            <w:tcW w:w="760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340" w:type="dxa"/>
            <w:vAlign w:val="bottom"/>
          </w:tcPr>
          <w:p>
            <w:pPr>
              <w:jc w:val="center"/>
              <w:ind w:right="133"/>
              <w:spacing w:after="0" w:line="142" w:lineRule="exact"/>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34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6"/>
        </w:trPr>
        <w:tc>
          <w:tcPr>
            <w:tcW w:w="77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Current:</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1,777</w:t>
            </w:r>
          </w:p>
        </w:tc>
        <w:tc>
          <w:tcPr>
            <w:tcW w:w="5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107,119</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65,512</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124,684</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152,012</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220" w:type="dxa"/>
            <w:vAlign w:val="bottom"/>
            <w:tcBorders>
              <w:bottom w:val="single" w:sz="8" w:color="auto"/>
            </w:tcBorders>
            <w:shd w:val="clear" w:color="auto" w:fill="CFF0FC"/>
          </w:tcPr>
          <w:p>
            <w:pPr>
              <w:spacing w:after="0"/>
              <w:rPr>
                <w:sz w:val="18"/>
                <w:szCs w:val="18"/>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4,394</w:t>
            </w:r>
          </w:p>
        </w:tc>
        <w:tc>
          <w:tcPr>
            <w:tcW w:w="280" w:type="dxa"/>
            <w:vAlign w:val="bottom"/>
            <w:tcBorders>
              <w:bottom w:val="single" w:sz="8" w:color="CFF0FC"/>
            </w:tcBorders>
            <w:shd w:val="clear" w:color="auto" w:fill="CFF0FC"/>
          </w:tcPr>
          <w:p>
            <w:pPr>
              <w:spacing w:after="0"/>
              <w:rPr>
                <w:sz w:val="18"/>
                <w:szCs w:val="18"/>
                <w:color w:val="auto"/>
              </w:rPr>
            </w:pPr>
          </w:p>
        </w:tc>
        <w:tc>
          <w:tcPr>
            <w:tcW w:w="240" w:type="dxa"/>
            <w:vAlign w:val="bottom"/>
            <w:tcBorders>
              <w:bottom w:val="single" w:sz="8" w:color="auto"/>
            </w:tcBorders>
            <w:shd w:val="clear" w:color="auto" w:fill="CFF0FC"/>
          </w:tcPr>
          <w:p>
            <w:pPr>
              <w:spacing w:after="0"/>
              <w:rPr>
                <w:sz w:val="18"/>
                <w:szCs w:val="18"/>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7,059</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120" w:type="dxa"/>
            <w:vAlign w:val="bottom"/>
          </w:tcPr>
          <w:p>
            <w:pPr>
              <w:spacing w:after="0"/>
              <w:rPr>
                <w:sz w:val="18"/>
                <w:szCs w:val="18"/>
                <w:color w:val="auto"/>
              </w:rPr>
            </w:pPr>
          </w:p>
        </w:tc>
        <w:tc>
          <w:tcPr>
            <w:tcW w:w="760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Total current deferred revenue and advance payments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237,974</w:t>
            </w:r>
          </w:p>
        </w:tc>
        <w:tc>
          <w:tcPr>
            <w:tcW w:w="5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120" w:type="dxa"/>
            <w:vAlign w:val="bottom"/>
          </w:tcPr>
          <w:p>
            <w:pPr>
              <w:spacing w:after="0" w:line="20" w:lineRule="exact"/>
              <w:rPr>
                <w:sz w:val="1"/>
                <w:szCs w:val="1"/>
                <w:color w:val="auto"/>
              </w:rPr>
            </w:pPr>
          </w:p>
        </w:tc>
        <w:tc>
          <w:tcPr>
            <w:tcW w:w="7600" w:type="dxa"/>
            <w:vAlign w:val="bottom"/>
          </w:tcPr>
          <w:p>
            <w:pPr>
              <w:spacing w:after="0" w:line="20" w:lineRule="exact"/>
              <w:rPr>
                <w:sz w:val="1"/>
                <w:szCs w:val="1"/>
                <w:color w:val="auto"/>
              </w:rPr>
            </w:pPr>
          </w:p>
        </w:tc>
        <w:tc>
          <w:tcPr>
            <w:tcW w:w="220" w:type="dxa"/>
            <w:vAlign w:val="bottom"/>
            <w:tcBorders>
              <w:top w:val="single" w:sz="8" w:color="auto"/>
              <w:bottom w:val="single" w:sz="8" w:color="auto"/>
            </w:tcBorders>
          </w:tcPr>
          <w:p>
            <w:pPr>
              <w:spacing w:after="0" w:line="20" w:lineRule="exact"/>
              <w:rPr>
                <w:sz w:val="1"/>
                <w:szCs w:val="1"/>
                <w:color w:val="auto"/>
              </w:rPr>
            </w:pPr>
          </w:p>
        </w:tc>
        <w:tc>
          <w:tcPr>
            <w:tcW w:w="134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40" w:type="dxa"/>
            <w:vAlign w:val="bottom"/>
            <w:tcBorders>
              <w:top w:val="single" w:sz="8" w:color="auto"/>
              <w:bottom w:val="single" w:sz="8" w:color="auto"/>
            </w:tcBorders>
          </w:tcPr>
          <w:p>
            <w:pPr>
              <w:spacing w:after="0" w:line="20" w:lineRule="exact"/>
              <w:rPr>
                <w:sz w:val="1"/>
                <w:szCs w:val="1"/>
                <w:color w:val="auto"/>
              </w:rPr>
            </w:pPr>
          </w:p>
        </w:tc>
        <w:tc>
          <w:tcPr>
            <w:tcW w:w="13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7"/>
        </w:trPr>
        <w:tc>
          <w:tcPr>
            <w:tcW w:w="7720" w:type="dxa"/>
            <w:vAlign w:val="bottom"/>
            <w:gridSpan w:val="2"/>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13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240" w:type="dxa"/>
            <w:vAlign w:val="bottom"/>
            <w:shd w:val="clear" w:color="auto" w:fill="CFF0FC"/>
          </w:tcPr>
          <w:p>
            <w:pPr>
              <w:spacing w:after="0"/>
              <w:rPr>
                <w:sz w:val="17"/>
                <w:szCs w:val="17"/>
                <w:color w:val="auto"/>
              </w:rPr>
            </w:pPr>
          </w:p>
        </w:tc>
        <w:tc>
          <w:tcPr>
            <w:tcW w:w="134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7720" w:type="dxa"/>
            <w:vAlign w:val="bottom"/>
            <w:gridSpan w:val="2"/>
          </w:tcPr>
          <w:p>
            <w:pPr>
              <w:ind w:left="20"/>
              <w:spacing w:after="0"/>
              <w:rPr>
                <w:sz w:val="20"/>
                <w:szCs w:val="20"/>
                <w:color w:val="auto"/>
              </w:rPr>
            </w:pPr>
            <w:r>
              <w:rPr>
                <w:rFonts w:ascii="Times New Roman" w:cs="Times New Roman" w:eastAsia="Times New Roman" w:hAnsi="Times New Roman"/>
                <w:sz w:val="18"/>
                <w:szCs w:val="18"/>
                <w:b w:val="1"/>
                <w:bCs w:val="1"/>
                <w:color w:val="auto"/>
              </w:rPr>
              <w:t>Non-current:</w:t>
            </w:r>
          </w:p>
        </w:tc>
        <w:tc>
          <w:tcPr>
            <w:tcW w:w="22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220" w:type="dxa"/>
            <w:vAlign w:val="bottom"/>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174</w:t>
            </w:r>
          </w:p>
        </w:tc>
        <w:tc>
          <w:tcPr>
            <w:tcW w:w="5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2,263</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3,097</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2,111</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4,984</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22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422</w:t>
            </w:r>
          </w:p>
        </w:tc>
        <w:tc>
          <w:tcPr>
            <w:tcW w:w="280" w:type="dxa"/>
            <w:vAlign w:val="bottom"/>
          </w:tcPr>
          <w:p>
            <w:pPr>
              <w:spacing w:after="0"/>
              <w:rPr>
                <w:sz w:val="18"/>
                <w:szCs w:val="18"/>
                <w:color w:val="auto"/>
              </w:rPr>
            </w:pPr>
          </w:p>
        </w:tc>
        <w:tc>
          <w:tcPr>
            <w:tcW w:w="240" w:type="dxa"/>
            <w:vAlign w:val="bottom"/>
            <w:tcBorders>
              <w:bottom w:val="single" w:sz="8" w:color="auto"/>
            </w:tcBorders>
          </w:tcPr>
          <w:p>
            <w:pPr>
              <w:spacing w:after="0"/>
              <w:rPr>
                <w:sz w:val="18"/>
                <w:szCs w:val="18"/>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443</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49"/>
        </w:trPr>
        <w:tc>
          <w:tcPr>
            <w:tcW w:w="120" w:type="dxa"/>
            <w:vAlign w:val="bottom"/>
            <w:shd w:val="clear" w:color="auto" w:fill="CFF0FC"/>
          </w:tcPr>
          <w:p>
            <w:pPr>
              <w:spacing w:after="0"/>
              <w:rPr>
                <w:sz w:val="21"/>
                <w:szCs w:val="21"/>
                <w:color w:val="auto"/>
              </w:rPr>
            </w:pPr>
          </w:p>
        </w:tc>
        <w:tc>
          <w:tcPr>
            <w:tcW w:w="760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Total non-current deferred revenue and advance payments</w:t>
            </w:r>
          </w:p>
        </w:tc>
        <w:tc>
          <w:tcPr>
            <w:tcW w:w="220" w:type="dxa"/>
            <w:vAlign w:val="bottom"/>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4,970</w:t>
            </w:r>
          </w:p>
        </w:tc>
        <w:tc>
          <w:tcPr>
            <w:tcW w:w="5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197"/>
        </w:trPr>
        <w:tc>
          <w:tcPr>
            <w:tcW w:w="7720" w:type="dxa"/>
            <w:vAlign w:val="bottom"/>
            <w:tcBorders>
              <w:top w:val="single" w:sz="8" w:color="CFF0FC"/>
            </w:tcBorders>
            <w:gridSpan w:val="2"/>
          </w:tcPr>
          <w:p>
            <w:pPr>
              <w:spacing w:after="0"/>
              <w:rPr>
                <w:sz w:val="17"/>
                <w:szCs w:val="17"/>
                <w:color w:val="auto"/>
              </w:rPr>
            </w:pPr>
          </w:p>
        </w:tc>
        <w:tc>
          <w:tcPr>
            <w:tcW w:w="220" w:type="dxa"/>
            <w:vAlign w:val="bottom"/>
            <w:tcBorders>
              <w:top w:val="single" w:sz="8" w:color="auto"/>
            </w:tcBorders>
          </w:tcPr>
          <w:p>
            <w:pPr>
              <w:spacing w:after="0"/>
              <w:rPr>
                <w:sz w:val="17"/>
                <w:szCs w:val="17"/>
                <w:color w:val="auto"/>
              </w:rPr>
            </w:pPr>
          </w:p>
        </w:tc>
        <w:tc>
          <w:tcPr>
            <w:tcW w:w="1340" w:type="dxa"/>
            <w:vAlign w:val="bottom"/>
            <w:tcBorders>
              <w:top w:val="single" w:sz="8" w:color="auto"/>
            </w:tcBorders>
          </w:tcPr>
          <w:p>
            <w:pPr>
              <w:spacing w:after="0"/>
              <w:rPr>
                <w:sz w:val="17"/>
                <w:szCs w:val="17"/>
                <w:color w:val="auto"/>
              </w:rPr>
            </w:pPr>
          </w:p>
        </w:tc>
        <w:tc>
          <w:tcPr>
            <w:tcW w:w="280" w:type="dxa"/>
            <w:vAlign w:val="bottom"/>
            <w:tcBorders>
              <w:top w:val="single" w:sz="8" w:color="CFF0FC"/>
            </w:tcBorders>
          </w:tcPr>
          <w:p>
            <w:pPr>
              <w:spacing w:after="0"/>
              <w:rPr>
                <w:sz w:val="17"/>
                <w:szCs w:val="17"/>
                <w:color w:val="auto"/>
              </w:rPr>
            </w:pPr>
          </w:p>
        </w:tc>
        <w:tc>
          <w:tcPr>
            <w:tcW w:w="240" w:type="dxa"/>
            <w:vAlign w:val="bottom"/>
            <w:tcBorders>
              <w:top w:val="single" w:sz="8" w:color="auto"/>
            </w:tcBorders>
          </w:tcPr>
          <w:p>
            <w:pPr>
              <w:spacing w:after="0"/>
              <w:rPr>
                <w:sz w:val="17"/>
                <w:szCs w:val="17"/>
                <w:color w:val="auto"/>
              </w:rPr>
            </w:pPr>
          </w:p>
        </w:tc>
        <w:tc>
          <w:tcPr>
            <w:tcW w:w="1340" w:type="dxa"/>
            <w:vAlign w:val="bottom"/>
            <w:tcBorders>
              <w:top w:val="single" w:sz="8" w:color="auto"/>
            </w:tcBorders>
          </w:tcPr>
          <w:p>
            <w:pPr>
              <w:spacing w:after="0"/>
              <w:rPr>
                <w:sz w:val="17"/>
                <w:szCs w:val="17"/>
                <w:color w:val="auto"/>
              </w:rPr>
            </w:pPr>
          </w:p>
        </w:tc>
        <w:tc>
          <w:tcPr>
            <w:tcW w:w="100" w:type="dxa"/>
            <w:vAlign w:val="bottom"/>
            <w:tcBorders>
              <w:top w:val="single" w:sz="8" w:color="CFF0FC"/>
            </w:tcBorders>
          </w:tcPr>
          <w:p>
            <w:pPr>
              <w:spacing w:after="0"/>
              <w:rPr>
                <w:sz w:val="17"/>
                <w:szCs w:val="17"/>
                <w:color w:val="auto"/>
              </w:rPr>
            </w:pPr>
          </w:p>
        </w:tc>
        <w:tc>
          <w:tcPr>
            <w:tcW w:w="0" w:type="dxa"/>
            <w:vAlign w:val="bottom"/>
          </w:tcPr>
          <w:p>
            <w:pPr>
              <w:spacing w:after="0"/>
              <w:rPr>
                <w:sz w:val="1"/>
                <w:szCs w:val="1"/>
                <w:color w:val="auto"/>
              </w:rPr>
            </w:pPr>
          </w:p>
        </w:tc>
      </w:tr>
      <w:tr>
        <w:trPr>
          <w:trHeight w:val="216"/>
        </w:trPr>
        <w:tc>
          <w:tcPr>
            <w:tcW w:w="77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Total current and non-current:</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1,951</w:t>
            </w:r>
          </w:p>
        </w:tc>
        <w:tc>
          <w:tcPr>
            <w:tcW w:w="5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22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109,382</w:t>
            </w: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68,609</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22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126,795</w:t>
            </w: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156,996</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7720" w:type="dxa"/>
            <w:vAlign w:val="bottom"/>
            <w:tcBorders>
              <w:bottom w:val="single" w:sz="8" w:color="CFF0FC"/>
            </w:tcBorders>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220" w:type="dxa"/>
            <w:vAlign w:val="bottom"/>
            <w:tcBorders>
              <w:bottom w:val="single" w:sz="8" w:color="auto"/>
            </w:tcBorders>
            <w:shd w:val="clear" w:color="auto" w:fill="CFF0FC"/>
          </w:tcPr>
          <w:p>
            <w:pPr>
              <w:spacing w:after="0"/>
              <w:rPr>
                <w:sz w:val="18"/>
                <w:szCs w:val="18"/>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4,816</w:t>
            </w:r>
          </w:p>
        </w:tc>
        <w:tc>
          <w:tcPr>
            <w:tcW w:w="280" w:type="dxa"/>
            <w:vAlign w:val="bottom"/>
            <w:tcBorders>
              <w:bottom w:val="single" w:sz="8" w:color="CFF0FC"/>
            </w:tcBorders>
            <w:shd w:val="clear" w:color="auto" w:fill="CFF0FC"/>
          </w:tcPr>
          <w:p>
            <w:pPr>
              <w:spacing w:after="0"/>
              <w:rPr>
                <w:sz w:val="18"/>
                <w:szCs w:val="18"/>
                <w:color w:val="auto"/>
              </w:rPr>
            </w:pPr>
          </w:p>
        </w:tc>
        <w:tc>
          <w:tcPr>
            <w:tcW w:w="240" w:type="dxa"/>
            <w:vAlign w:val="bottom"/>
            <w:tcBorders>
              <w:bottom w:val="single" w:sz="8" w:color="auto"/>
            </w:tcBorders>
            <w:shd w:val="clear" w:color="auto" w:fill="CFF0FC"/>
          </w:tcPr>
          <w:p>
            <w:pPr>
              <w:spacing w:after="0"/>
              <w:rPr>
                <w:sz w:val="18"/>
                <w:szCs w:val="18"/>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7,502</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9"/>
        </w:trPr>
        <w:tc>
          <w:tcPr>
            <w:tcW w:w="120" w:type="dxa"/>
            <w:vAlign w:val="bottom"/>
          </w:tcPr>
          <w:p>
            <w:pPr>
              <w:spacing w:after="0"/>
              <w:rPr>
                <w:sz w:val="18"/>
                <w:szCs w:val="18"/>
                <w:color w:val="auto"/>
              </w:rPr>
            </w:pPr>
          </w:p>
        </w:tc>
        <w:tc>
          <w:tcPr>
            <w:tcW w:w="760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Total current and non-current deferred revenue and advance payments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242,944</w:t>
            </w:r>
          </w:p>
        </w:tc>
        <w:tc>
          <w:tcPr>
            <w:tcW w:w="52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236,686</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120" w:type="dxa"/>
            <w:vAlign w:val="bottom"/>
            <w:vMerge w:val="restart"/>
          </w:tcPr>
          <w:p>
            <w:pPr>
              <w:spacing w:after="0"/>
              <w:rPr>
                <w:sz w:val="20"/>
                <w:szCs w:val="20"/>
                <w:color w:val="auto"/>
              </w:rPr>
            </w:pPr>
            <w:r>
              <w:rPr>
                <w:rFonts w:ascii="Times New Roman" w:cs="Times New Roman" w:eastAsia="Times New Roman" w:hAnsi="Times New Roman"/>
                <w:sz w:val="18"/>
                <w:szCs w:val="18"/>
                <w:color w:val="auto"/>
              </w:rPr>
              <w:t>*</w:t>
            </w:r>
          </w:p>
        </w:tc>
        <w:tc>
          <w:tcPr>
            <w:tcW w:w="7600" w:type="dxa"/>
            <w:vAlign w:val="bottom"/>
            <w:vMerge w:val="restart"/>
          </w:tcPr>
          <w:p>
            <w:pPr>
              <w:ind w:left="240"/>
              <w:spacing w:after="0"/>
              <w:rPr>
                <w:sz w:val="20"/>
                <w:szCs w:val="20"/>
                <w:color w:val="auto"/>
              </w:rPr>
            </w:pPr>
            <w:r>
              <w:rPr>
                <w:rFonts w:ascii="Times New Roman" w:cs="Times New Roman" w:eastAsia="Times New Roman" w:hAnsi="Times New Roman"/>
                <w:sz w:val="18"/>
                <w:szCs w:val="18"/>
                <w:color w:val="auto"/>
              </w:rPr>
              <w:t>Derived from audited financial statements.</w:t>
            </w:r>
          </w:p>
        </w:tc>
        <w:tc>
          <w:tcPr>
            <w:tcW w:w="220" w:type="dxa"/>
            <w:vAlign w:val="bottom"/>
            <w:tcBorders>
              <w:top w:val="single" w:sz="8" w:color="auto"/>
              <w:bottom w:val="single" w:sz="8" w:color="auto"/>
            </w:tcBorders>
          </w:tcPr>
          <w:p>
            <w:pPr>
              <w:spacing w:after="0" w:line="20" w:lineRule="exact"/>
              <w:rPr>
                <w:sz w:val="1"/>
                <w:szCs w:val="1"/>
                <w:color w:val="auto"/>
              </w:rPr>
            </w:pPr>
          </w:p>
        </w:tc>
        <w:tc>
          <w:tcPr>
            <w:tcW w:w="134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40" w:type="dxa"/>
            <w:vAlign w:val="bottom"/>
            <w:tcBorders>
              <w:top w:val="single" w:sz="8" w:color="auto"/>
              <w:bottom w:val="single" w:sz="8" w:color="auto"/>
            </w:tcBorders>
          </w:tcPr>
          <w:p>
            <w:pPr>
              <w:spacing w:after="0" w:line="20" w:lineRule="exact"/>
              <w:rPr>
                <w:sz w:val="1"/>
                <w:szCs w:val="1"/>
                <w:color w:val="auto"/>
              </w:rPr>
            </w:pPr>
          </w:p>
        </w:tc>
        <w:tc>
          <w:tcPr>
            <w:tcW w:w="13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413"/>
        </w:trPr>
        <w:tc>
          <w:tcPr>
            <w:tcW w:w="120" w:type="dxa"/>
            <w:vAlign w:val="bottom"/>
            <w:vMerge w:val="continue"/>
          </w:tcPr>
          <w:p>
            <w:pPr>
              <w:spacing w:after="0"/>
              <w:rPr>
                <w:sz w:val="24"/>
                <w:szCs w:val="24"/>
                <w:color w:val="auto"/>
              </w:rPr>
            </w:pPr>
          </w:p>
        </w:tc>
        <w:tc>
          <w:tcPr>
            <w:tcW w:w="7600" w:type="dxa"/>
            <w:vAlign w:val="bottom"/>
            <w:vMerge w:val="continue"/>
          </w:tcPr>
          <w:p>
            <w:pPr>
              <w:spacing w:after="0"/>
              <w:rPr>
                <w:sz w:val="24"/>
                <w:szCs w:val="24"/>
                <w:color w:val="auto"/>
              </w:rPr>
            </w:pPr>
          </w:p>
        </w:tc>
        <w:tc>
          <w:tcPr>
            <w:tcW w:w="220" w:type="dxa"/>
            <w:vAlign w:val="bottom"/>
          </w:tcPr>
          <w:p>
            <w:pPr>
              <w:spacing w:after="0"/>
              <w:rPr>
                <w:sz w:val="24"/>
                <w:szCs w:val="24"/>
                <w:color w:val="auto"/>
              </w:rPr>
            </w:pPr>
          </w:p>
        </w:tc>
        <w:tc>
          <w:tcPr>
            <w:tcW w:w="134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34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006"/>
        </w:trPr>
        <w:tc>
          <w:tcPr>
            <w:tcW w:w="120" w:type="dxa"/>
            <w:vAlign w:val="bottom"/>
            <w:tcBorders>
              <w:bottom w:val="single" w:sz="8" w:color="9A9A9A"/>
            </w:tcBorders>
          </w:tcPr>
          <w:p>
            <w:pPr>
              <w:spacing w:after="0"/>
              <w:rPr>
                <w:sz w:val="24"/>
                <w:szCs w:val="24"/>
                <w:color w:val="auto"/>
              </w:rPr>
            </w:pPr>
          </w:p>
        </w:tc>
        <w:tc>
          <w:tcPr>
            <w:tcW w:w="760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34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34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5894070</wp:posOffset>
            </wp:positionH>
            <wp:positionV relativeFrom="paragraph">
              <wp:posOffset>-3085465</wp:posOffset>
            </wp:positionV>
            <wp:extent cx="68580" cy="8255"/>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-3085465</wp:posOffset>
            </wp:positionV>
            <wp:extent cx="68580" cy="825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-1945005</wp:posOffset>
            </wp:positionV>
            <wp:extent cx="68580" cy="8255"/>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-1927860</wp:posOffset>
            </wp:positionV>
            <wp:extent cx="68580" cy="825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-1945005</wp:posOffset>
            </wp:positionV>
            <wp:extent cx="68580" cy="8255"/>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-1927860</wp:posOffset>
            </wp:positionV>
            <wp:extent cx="68580" cy="8255"/>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5894070</wp:posOffset>
            </wp:positionH>
            <wp:positionV relativeFrom="paragraph">
              <wp:posOffset>-1096645</wp:posOffset>
            </wp:positionV>
            <wp:extent cx="68580" cy="8255"/>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-1096645</wp:posOffset>
            </wp:positionV>
            <wp:extent cx="68580" cy="8255"/>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8" w:name="page19"/>
    <w:bookmarkEnd w:id="18"/>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SEGMENT INFORMATION</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unaudited)</w:t>
      </w:r>
    </w:p>
    <w:p>
      <w:pPr>
        <w:spacing w:after="0" w:line="207"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MicroStrategy has one reportable operating segment, the “Software Business,” which is engaged in the design, development, marketing, and sales of the Company’s enterprise analytics software platform through cloud subscriptions and licensing arrangements and related services (i.e., product support, consulting, and education). The “Corporate &amp; Other” category presented in the following tables is not considered an operating segment. It consists primarily of costs and expenses related to executing the Company’s bitcoin strategy and includes the impairment charges and other third-party costs associated with the Company’s bitcoin holdings, net interest expense primarily related to long-term debt obligations (the net proceeds of which were primarily used to purchase bitcoin), and income tax effects generated from the Company’s bitcoin holdings and related debt issuances. Segment assets allocated to the Corporate &amp; Other category are the Company’s digital assets and deferred tax assets related primarily to digital asset impairment losses and interest expense.</w:t>
      </w:r>
    </w:p>
    <w:p>
      <w:pPr>
        <w:spacing w:after="0" w:line="266" w:lineRule="exact"/>
        <w:rPr>
          <w:sz w:val="20"/>
          <w:szCs w:val="20"/>
          <w:color w:val="auto"/>
        </w:rPr>
      </w:pPr>
    </w:p>
    <w:tbl>
      <w:tblPr>
        <w:tblLayout w:type="fixed"/>
        <w:tblInd w:w="0" w:type="dxa"/>
        <w:tblCellMar>
          <w:top w:w="0" w:type="dxa"/>
          <w:left w:w="0" w:type="dxa"/>
          <w:bottom w:w="0" w:type="dxa"/>
          <w:right w:w="0" w:type="dxa"/>
        </w:tblCellMar>
      </w:tblPr>
      <w:tr>
        <w:trPr>
          <w:trHeight w:val="173"/>
        </w:trPr>
        <w:tc>
          <w:tcPr>
            <w:tcW w:w="562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3860" w:type="dxa"/>
            <w:vAlign w:val="bottom"/>
            <w:tcBorders>
              <w:bottom w:val="single" w:sz="8" w:color="auto"/>
            </w:tcBorders>
            <w:gridSpan w:val="8"/>
          </w:tcPr>
          <w:p>
            <w:pPr>
              <w:jc w:val="center"/>
              <w:ind w:left="1153"/>
              <w:spacing w:after="0"/>
              <w:rPr>
                <w:sz w:val="20"/>
                <w:szCs w:val="20"/>
                <w:color w:val="auto"/>
              </w:rPr>
            </w:pPr>
            <w:r>
              <w:rPr>
                <w:rFonts w:ascii="Times New Roman" w:cs="Times New Roman" w:eastAsia="Times New Roman" w:hAnsi="Times New Roman"/>
                <w:sz w:val="14"/>
                <w:szCs w:val="14"/>
                <w:b w:val="1"/>
                <w:bCs w:val="1"/>
                <w:color w:val="auto"/>
              </w:rPr>
              <w:t>Three Months Ended December 31, 2024</w:t>
            </w:r>
          </w:p>
        </w:tc>
        <w:tc>
          <w:tcPr>
            <w:tcW w:w="146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56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580" w:type="dxa"/>
            <w:vAlign w:val="bottom"/>
            <w:gridSpan w:val="2"/>
          </w:tcPr>
          <w:p>
            <w:pPr>
              <w:jc w:val="right"/>
              <w:ind w:right="380"/>
              <w:spacing w:after="0" w:line="142" w:lineRule="exact"/>
              <w:rPr>
                <w:sz w:val="20"/>
                <w:szCs w:val="20"/>
                <w:color w:val="auto"/>
              </w:rPr>
            </w:pPr>
            <w:r>
              <w:rPr>
                <w:rFonts w:ascii="Times New Roman" w:cs="Times New Roman" w:eastAsia="Times New Roman" w:hAnsi="Times New Roman"/>
                <w:sz w:val="14"/>
                <w:szCs w:val="14"/>
                <w:b w:val="1"/>
                <w:bCs w:val="1"/>
                <w:color w:val="auto"/>
              </w:rPr>
              <w:t>Software Business</w:t>
            </w: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60" w:type="dxa"/>
            <w:vAlign w:val="bottom"/>
            <w:gridSpan w:val="3"/>
          </w:tcPr>
          <w:p>
            <w:pPr>
              <w:jc w:val="center"/>
              <w:ind w:right="440"/>
              <w:spacing w:after="0" w:line="142" w:lineRule="exact"/>
              <w:rPr>
                <w:sz w:val="20"/>
                <w:szCs w:val="20"/>
                <w:color w:val="auto"/>
              </w:rPr>
            </w:pPr>
            <w:r>
              <w:rPr>
                <w:rFonts w:ascii="Times New Roman" w:cs="Times New Roman" w:eastAsia="Times New Roman" w:hAnsi="Times New Roman"/>
                <w:sz w:val="14"/>
                <w:szCs w:val="14"/>
                <w:b w:val="1"/>
                <w:bCs w:val="1"/>
                <w:color w:val="auto"/>
              </w:rPr>
              <w:t>Corporate &amp; Other</w:t>
            </w:r>
          </w:p>
        </w:tc>
        <w:tc>
          <w:tcPr>
            <w:tcW w:w="200" w:type="dxa"/>
            <w:vAlign w:val="bottom"/>
          </w:tcPr>
          <w:p>
            <w:pPr>
              <w:spacing w:after="0"/>
              <w:rPr>
                <w:sz w:val="12"/>
                <w:szCs w:val="12"/>
                <w:color w:val="auto"/>
              </w:rPr>
            </w:pPr>
          </w:p>
        </w:tc>
        <w:tc>
          <w:tcPr>
            <w:tcW w:w="1460" w:type="dxa"/>
            <w:vAlign w:val="bottom"/>
          </w:tcPr>
          <w:p>
            <w:pPr>
              <w:jc w:val="right"/>
              <w:ind w:right="172"/>
              <w:spacing w:after="0" w:line="142" w:lineRule="exact"/>
              <w:rPr>
                <w:sz w:val="20"/>
                <w:szCs w:val="20"/>
                <w:color w:val="auto"/>
              </w:rPr>
            </w:pPr>
            <w:r>
              <w:rPr>
                <w:rFonts w:ascii="Times New Roman" w:cs="Times New Roman" w:eastAsia="Times New Roman" w:hAnsi="Times New Roman"/>
                <w:sz w:val="14"/>
                <w:szCs w:val="14"/>
                <w:b w:val="1"/>
                <w:bCs w:val="1"/>
                <w:color w:val="auto"/>
              </w:rPr>
              <w:t>Total Consolidated</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200" w:type="dxa"/>
            <w:vAlign w:val="bottom"/>
            <w:tcBorders>
              <w:top w:val="single" w:sz="8" w:color="auto"/>
            </w:tcBorders>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120,697</w:t>
            </w: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tcBorders>
              <w:top w:val="single" w:sz="8" w:color="auto"/>
            </w:tcBorders>
            <w:shd w:val="clear" w:color="auto" w:fill="CFF0FC"/>
          </w:tcPr>
          <w:p>
            <w:pPr>
              <w:spacing w:after="0"/>
              <w:rPr>
                <w:sz w:val="18"/>
                <w:szCs w:val="18"/>
                <w:color w:val="auto"/>
              </w:rPr>
            </w:pPr>
          </w:p>
        </w:tc>
        <w:tc>
          <w:tcPr>
            <w:tcW w:w="1500" w:type="dxa"/>
            <w:vAlign w:val="bottom"/>
            <w:tcBorders>
              <w:top w:val="single" w:sz="8" w:color="auto"/>
            </w:tcBorders>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200" w:type="dxa"/>
            <w:vAlign w:val="bottom"/>
            <w:tcBorders>
              <w:top w:val="single" w:sz="8" w:color="auto"/>
            </w:tcBorders>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6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120,697</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expenses</w:t>
            </w: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(127,641 )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(1,009,476 )</w:t>
            </w:r>
          </w:p>
        </w:tc>
        <w:tc>
          <w:tcPr>
            <w:tcW w:w="1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(1,137,117 )</w:t>
            </w:r>
          </w:p>
        </w:tc>
        <w:tc>
          <w:tcPr>
            <w:tcW w:w="0" w:type="dxa"/>
            <w:vAlign w:val="bottom"/>
          </w:tcPr>
          <w:p>
            <w:pPr>
              <w:spacing w:after="0"/>
              <w:rPr>
                <w:sz w:val="1"/>
                <w:szCs w:val="1"/>
                <w:color w:val="auto"/>
              </w:rPr>
            </w:pPr>
          </w:p>
        </w:tc>
      </w:tr>
      <w:tr>
        <w:trPr>
          <w:trHeight w:val="20"/>
        </w:trPr>
        <w:tc>
          <w:tcPr>
            <w:tcW w:w="562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5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6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29"/>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Loss from operations</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(6,944 )</w:t>
            </w:r>
          </w:p>
        </w:tc>
        <w:tc>
          <w:tcPr>
            <w:tcW w:w="32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(1,009,476 )</w:t>
            </w:r>
          </w:p>
        </w:tc>
        <w:tc>
          <w:tcPr>
            <w:tcW w:w="160" w:type="dxa"/>
            <w:vAlign w:val="bottom"/>
            <w:shd w:val="clear" w:color="auto" w:fill="CFF0FC"/>
          </w:tcPr>
          <w:p>
            <w:pPr>
              <w:spacing w:after="0"/>
              <w:rPr>
                <w:sz w:val="19"/>
                <w:szCs w:val="19"/>
                <w:color w:val="auto"/>
              </w:rPr>
            </w:pP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(1,016,420 )</w:t>
            </w:r>
          </w:p>
        </w:tc>
        <w:tc>
          <w:tcPr>
            <w:tcW w:w="0" w:type="dxa"/>
            <w:vAlign w:val="bottom"/>
          </w:tcPr>
          <w:p>
            <w:pPr>
              <w:spacing w:after="0"/>
              <w:rPr>
                <w:sz w:val="1"/>
                <w:szCs w:val="1"/>
                <w:color w:val="auto"/>
              </w:rPr>
            </w:pPr>
          </w:p>
        </w:tc>
      </w:tr>
      <w:tr>
        <w:trPr>
          <w:trHeight w:val="20"/>
        </w:trPr>
        <w:tc>
          <w:tcPr>
            <w:tcW w:w="562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4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right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50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46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7"/>
        </w:trPr>
        <w:tc>
          <w:tcPr>
            <w:tcW w:w="5620" w:type="dxa"/>
            <w:vAlign w:val="bottom"/>
          </w:tcPr>
          <w:p>
            <w:pPr>
              <w:ind w:left="20"/>
              <w:spacing w:after="0" w:line="196" w:lineRule="exact"/>
              <w:rPr>
                <w:sz w:val="20"/>
                <w:szCs w:val="20"/>
                <w:color w:val="auto"/>
              </w:rPr>
            </w:pPr>
            <w:r>
              <w:rPr>
                <w:rFonts w:ascii="Times New Roman" w:cs="Times New Roman" w:eastAsia="Times New Roman" w:hAnsi="Times New Roman"/>
                <w:sz w:val="18"/>
                <w:szCs w:val="18"/>
                <w:color w:val="auto"/>
              </w:rPr>
              <w:t>Interest expense, net</w:t>
            </w:r>
          </w:p>
        </w:tc>
        <w:tc>
          <w:tcPr>
            <w:tcW w:w="200" w:type="dxa"/>
            <w:vAlign w:val="bottom"/>
          </w:tcPr>
          <w:p>
            <w:pPr>
              <w:spacing w:after="0"/>
              <w:rPr>
                <w:sz w:val="17"/>
                <w:szCs w:val="17"/>
                <w:color w:val="auto"/>
              </w:rPr>
            </w:pPr>
          </w:p>
        </w:tc>
        <w:tc>
          <w:tcPr>
            <w:tcW w:w="148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600" w:type="dxa"/>
            <w:vAlign w:val="bottom"/>
            <w:gridSpan w:val="2"/>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(16,465 )</w:t>
            </w:r>
          </w:p>
        </w:tc>
        <w:tc>
          <w:tcPr>
            <w:tcW w:w="16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1560" w:type="dxa"/>
            <w:vAlign w:val="bottom"/>
            <w:gridSpan w:val="2"/>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(16,465 )</w:t>
            </w:r>
          </w:p>
        </w:tc>
        <w:tc>
          <w:tcPr>
            <w:tcW w:w="0" w:type="dxa"/>
            <w:vAlign w:val="bottom"/>
          </w:tcPr>
          <w:p>
            <w:pPr>
              <w:spacing w:after="0"/>
              <w:rPr>
                <w:sz w:val="1"/>
                <w:szCs w:val="1"/>
                <w:color w:val="auto"/>
              </w:rPr>
            </w:pPr>
          </w:p>
        </w:tc>
      </w:tr>
      <w:tr>
        <w:trPr>
          <w:trHeight w:val="216"/>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Income tax benefit</w:t>
            </w: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61,499</w:t>
            </w: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294,426</w:t>
            </w: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355,925</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segment items to reconcile to net income (loss)</w:t>
            </w:r>
          </w:p>
        </w:tc>
        <w:tc>
          <w:tcPr>
            <w:tcW w:w="200" w:type="dxa"/>
            <w:vAlign w:val="bottom"/>
            <w:tcBorders>
              <w:bottom w:val="single" w:sz="8" w:color="auto"/>
            </w:tcBorders>
          </w:tcPr>
          <w:p>
            <w:pPr>
              <w:spacing w:after="0"/>
              <w:rPr>
                <w:sz w:val="18"/>
                <w:szCs w:val="18"/>
                <w:color w:val="auto"/>
              </w:rPr>
            </w:pPr>
          </w:p>
        </w:tc>
        <w:tc>
          <w:tcPr>
            <w:tcW w:w="1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6,150</w:t>
            </w:r>
          </w:p>
        </w:tc>
        <w:tc>
          <w:tcPr>
            <w:tcW w:w="10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1500" w:type="dxa"/>
            <w:vAlign w:val="bottom"/>
            <w:tcBorders>
              <w:bottom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Borders>
              <w:bottom w:val="single" w:sz="8" w:color="auto"/>
            </w:tcBorders>
          </w:tcPr>
          <w:p>
            <w:pPr>
              <w:spacing w:after="0"/>
              <w:rPr>
                <w:sz w:val="18"/>
                <w:szCs w:val="18"/>
                <w:color w:val="auto"/>
              </w:rPr>
            </w:pPr>
          </w:p>
        </w:tc>
        <w:tc>
          <w:tcPr>
            <w:tcW w:w="200" w:type="dxa"/>
            <w:vAlign w:val="bottom"/>
            <w:tcBorders>
              <w:bottom w:val="single" w:sz="8" w:color="auto"/>
            </w:tcBorders>
          </w:tcPr>
          <w:p>
            <w:pPr>
              <w:spacing w:after="0"/>
              <w:rPr>
                <w:sz w:val="18"/>
                <w:szCs w:val="18"/>
                <w:color w:val="auto"/>
              </w:rPr>
            </w:pPr>
          </w:p>
        </w:tc>
        <w:tc>
          <w:tcPr>
            <w:tcW w:w="14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6,150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49"/>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Net income (loss)</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60,705</w:t>
            </w:r>
          </w:p>
        </w:tc>
        <w:tc>
          <w:tcPr>
            <w:tcW w:w="100" w:type="dxa"/>
            <w:vAlign w:val="bottom"/>
            <w:tcBorders>
              <w:right w:val="single" w:sz="8" w:color="CFF0FC"/>
            </w:tcBorders>
            <w:shd w:val="clear" w:color="auto" w:fill="CFF0FC"/>
          </w:tcPr>
          <w:p>
            <w:pPr>
              <w:spacing w:after="0"/>
              <w:rPr>
                <w:sz w:val="21"/>
                <w:szCs w:val="21"/>
                <w:color w:val="auto"/>
              </w:rPr>
            </w:pPr>
          </w:p>
        </w:tc>
        <w:tc>
          <w:tcPr>
            <w:tcW w:w="32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(731,515 )</w:t>
            </w:r>
          </w:p>
        </w:tc>
        <w:tc>
          <w:tcPr>
            <w:tcW w:w="160" w:type="dxa"/>
            <w:vAlign w:val="bottom"/>
            <w:shd w:val="clear" w:color="auto" w:fill="CFF0FC"/>
          </w:tcPr>
          <w:p>
            <w:pPr>
              <w:spacing w:after="0"/>
              <w:rPr>
                <w:sz w:val="21"/>
                <w:szCs w:val="21"/>
                <w:color w:val="auto"/>
              </w:rPr>
            </w:pP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(670,810 )</w:t>
            </w:r>
          </w:p>
        </w:tc>
        <w:tc>
          <w:tcPr>
            <w:tcW w:w="0" w:type="dxa"/>
            <w:vAlign w:val="bottom"/>
          </w:tcPr>
          <w:p>
            <w:pPr>
              <w:spacing w:after="0"/>
              <w:rPr>
                <w:sz w:val="1"/>
                <w:szCs w:val="1"/>
                <w:color w:val="auto"/>
              </w:rPr>
            </w:pPr>
          </w:p>
        </w:tc>
      </w:tr>
      <w:tr>
        <w:trPr>
          <w:trHeight w:val="215"/>
        </w:trPr>
        <w:tc>
          <w:tcPr>
            <w:tcW w:w="562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8"/>
                <w:szCs w:val="18"/>
                <w:color w:val="auto"/>
              </w:rPr>
              <w:t>Total assets, as of December 31, 2024</w:t>
            </w:r>
          </w:p>
        </w:tc>
        <w:tc>
          <w:tcPr>
            <w:tcW w:w="200" w:type="dxa"/>
            <w:vAlign w:val="bottom"/>
            <w:tcBorders>
              <w:top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743,190</w:t>
            </w:r>
          </w:p>
        </w:tc>
        <w:tc>
          <w:tcPr>
            <w:tcW w:w="100" w:type="dxa"/>
            <w:vAlign w:val="bottom"/>
            <w:tcBorders>
              <w:top w:val="single" w:sz="8" w:color="CFF0FC"/>
            </w:tcBorders>
          </w:tcPr>
          <w:p>
            <w:pPr>
              <w:spacing w:after="0"/>
              <w:rPr>
                <w:sz w:val="18"/>
                <w:szCs w:val="18"/>
                <w:color w:val="auto"/>
              </w:rPr>
            </w:pPr>
          </w:p>
        </w:tc>
        <w:tc>
          <w:tcPr>
            <w:tcW w:w="320" w:type="dxa"/>
            <w:vAlign w:val="bottom"/>
            <w:tcBorders>
              <w:top w:val="single" w:sz="8" w:color="auto"/>
            </w:tcBorders>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25,100,495</w:t>
            </w:r>
          </w:p>
        </w:tc>
        <w:tc>
          <w:tcPr>
            <w:tcW w:w="100" w:type="dxa"/>
            <w:vAlign w:val="bottom"/>
            <w:tcBorders>
              <w:top w:val="single" w:sz="8" w:color="CFF0FC"/>
            </w:tcBorders>
          </w:tcPr>
          <w:p>
            <w:pPr>
              <w:spacing w:after="0"/>
              <w:rPr>
                <w:sz w:val="18"/>
                <w:szCs w:val="18"/>
                <w:color w:val="auto"/>
              </w:rPr>
            </w:pPr>
          </w:p>
        </w:tc>
        <w:tc>
          <w:tcPr>
            <w:tcW w:w="160" w:type="dxa"/>
            <w:vAlign w:val="bottom"/>
            <w:tcBorders>
              <w:top w:val="single" w:sz="8" w:color="auto"/>
            </w:tcBorders>
          </w:tcPr>
          <w:p>
            <w:pPr>
              <w:spacing w:after="0"/>
              <w:rPr>
                <w:sz w:val="18"/>
                <w:szCs w:val="18"/>
                <w:color w:val="auto"/>
              </w:rPr>
            </w:pPr>
          </w:p>
        </w:tc>
        <w:tc>
          <w:tcPr>
            <w:tcW w:w="200" w:type="dxa"/>
            <w:vAlign w:val="bottom"/>
            <w:tcBorders>
              <w:top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25,843,685</w:t>
            </w:r>
          </w:p>
        </w:tc>
        <w:tc>
          <w:tcPr>
            <w:tcW w:w="100" w:type="dxa"/>
            <w:vAlign w:val="bottom"/>
            <w:tcBorders>
              <w:top w:val="single" w:sz="8" w:color="CFF0FC"/>
            </w:tcBorders>
          </w:tcPr>
          <w:p>
            <w:pPr>
              <w:spacing w:after="0"/>
              <w:rPr>
                <w:sz w:val="18"/>
                <w:szCs w:val="18"/>
                <w:color w:val="auto"/>
              </w:rPr>
            </w:pPr>
          </w:p>
        </w:tc>
        <w:tc>
          <w:tcPr>
            <w:tcW w:w="0" w:type="dxa"/>
            <w:vAlign w:val="bottom"/>
          </w:tcPr>
          <w:p>
            <w:pPr>
              <w:spacing w:after="0"/>
              <w:rPr>
                <w:sz w:val="1"/>
                <w:szCs w:val="1"/>
                <w:color w:val="auto"/>
              </w:rPr>
            </w:pPr>
          </w:p>
        </w:tc>
      </w:tr>
      <w:tr>
        <w:trPr>
          <w:trHeight w:val="427"/>
        </w:trPr>
        <w:tc>
          <w:tcPr>
            <w:tcW w:w="5620" w:type="dxa"/>
            <w:vAlign w:val="bottom"/>
          </w:tcPr>
          <w:p>
            <w:pPr>
              <w:spacing w:after="0"/>
              <w:rPr>
                <w:sz w:val="24"/>
                <w:szCs w:val="24"/>
                <w:color w:val="auto"/>
              </w:rPr>
            </w:pPr>
          </w:p>
        </w:tc>
        <w:tc>
          <w:tcPr>
            <w:tcW w:w="200" w:type="dxa"/>
            <w:vAlign w:val="bottom"/>
            <w:tcBorders>
              <w:bottom w:val="single" w:sz="8" w:color="auto"/>
            </w:tcBorders>
          </w:tcPr>
          <w:p>
            <w:pPr>
              <w:spacing w:after="0"/>
              <w:rPr>
                <w:sz w:val="24"/>
                <w:szCs w:val="24"/>
                <w:color w:val="auto"/>
              </w:rPr>
            </w:pPr>
          </w:p>
        </w:tc>
        <w:tc>
          <w:tcPr>
            <w:tcW w:w="3860" w:type="dxa"/>
            <w:vAlign w:val="bottom"/>
            <w:tcBorders>
              <w:bottom w:val="single" w:sz="8" w:color="auto"/>
            </w:tcBorders>
            <w:gridSpan w:val="8"/>
          </w:tcPr>
          <w:p>
            <w:pPr>
              <w:jc w:val="center"/>
              <w:ind w:left="1153"/>
              <w:spacing w:after="0"/>
              <w:rPr>
                <w:sz w:val="20"/>
                <w:szCs w:val="20"/>
                <w:color w:val="auto"/>
              </w:rPr>
            </w:pPr>
            <w:r>
              <w:rPr>
                <w:rFonts w:ascii="Times New Roman" w:cs="Times New Roman" w:eastAsia="Times New Roman" w:hAnsi="Times New Roman"/>
                <w:sz w:val="14"/>
                <w:szCs w:val="14"/>
                <w:b w:val="1"/>
                <w:bCs w:val="1"/>
                <w:color w:val="auto"/>
              </w:rPr>
              <w:t>Three Months Ended December 31, 2023</w:t>
            </w:r>
          </w:p>
        </w:tc>
        <w:tc>
          <w:tcPr>
            <w:tcW w:w="146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42"/>
        </w:trPr>
        <w:tc>
          <w:tcPr>
            <w:tcW w:w="5620" w:type="dxa"/>
            <w:vAlign w:val="bottom"/>
            <w:vMerge w:val="restart"/>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200" w:type="dxa"/>
            <w:vAlign w:val="bottom"/>
          </w:tcPr>
          <w:p>
            <w:pPr>
              <w:spacing w:after="0"/>
              <w:rPr>
                <w:sz w:val="12"/>
                <w:szCs w:val="12"/>
                <w:color w:val="auto"/>
              </w:rPr>
            </w:pPr>
          </w:p>
        </w:tc>
        <w:tc>
          <w:tcPr>
            <w:tcW w:w="1580" w:type="dxa"/>
            <w:vAlign w:val="bottom"/>
            <w:gridSpan w:val="2"/>
          </w:tcPr>
          <w:p>
            <w:pPr>
              <w:jc w:val="right"/>
              <w:ind w:right="380"/>
              <w:spacing w:after="0" w:line="142" w:lineRule="exact"/>
              <w:rPr>
                <w:sz w:val="20"/>
                <w:szCs w:val="20"/>
                <w:color w:val="auto"/>
              </w:rPr>
            </w:pPr>
            <w:r>
              <w:rPr>
                <w:rFonts w:ascii="Times New Roman" w:cs="Times New Roman" w:eastAsia="Times New Roman" w:hAnsi="Times New Roman"/>
                <w:sz w:val="14"/>
                <w:szCs w:val="14"/>
                <w:b w:val="1"/>
                <w:bCs w:val="1"/>
                <w:color w:val="auto"/>
              </w:rPr>
              <w:t>Software Business</w:t>
            </w: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60" w:type="dxa"/>
            <w:vAlign w:val="bottom"/>
            <w:gridSpan w:val="3"/>
          </w:tcPr>
          <w:p>
            <w:pPr>
              <w:jc w:val="center"/>
              <w:ind w:right="440"/>
              <w:spacing w:after="0" w:line="142" w:lineRule="exact"/>
              <w:rPr>
                <w:sz w:val="20"/>
                <w:szCs w:val="20"/>
                <w:color w:val="auto"/>
              </w:rPr>
            </w:pPr>
            <w:r>
              <w:rPr>
                <w:rFonts w:ascii="Times New Roman" w:cs="Times New Roman" w:eastAsia="Times New Roman" w:hAnsi="Times New Roman"/>
                <w:sz w:val="14"/>
                <w:szCs w:val="14"/>
                <w:b w:val="1"/>
                <w:bCs w:val="1"/>
                <w:color w:val="auto"/>
              </w:rPr>
              <w:t>Corporate &amp; Other</w:t>
            </w:r>
          </w:p>
        </w:tc>
        <w:tc>
          <w:tcPr>
            <w:tcW w:w="200" w:type="dxa"/>
            <w:vAlign w:val="bottom"/>
          </w:tcPr>
          <w:p>
            <w:pPr>
              <w:spacing w:after="0"/>
              <w:rPr>
                <w:sz w:val="12"/>
                <w:szCs w:val="12"/>
                <w:color w:val="auto"/>
              </w:rPr>
            </w:pPr>
          </w:p>
        </w:tc>
        <w:tc>
          <w:tcPr>
            <w:tcW w:w="1460" w:type="dxa"/>
            <w:vAlign w:val="bottom"/>
          </w:tcPr>
          <w:p>
            <w:pPr>
              <w:jc w:val="right"/>
              <w:ind w:right="172"/>
              <w:spacing w:after="0" w:line="142" w:lineRule="exact"/>
              <w:rPr>
                <w:sz w:val="20"/>
                <w:szCs w:val="20"/>
                <w:color w:val="auto"/>
              </w:rPr>
            </w:pPr>
            <w:r>
              <w:rPr>
                <w:rFonts w:ascii="Times New Roman" w:cs="Times New Roman" w:eastAsia="Times New Roman" w:hAnsi="Times New Roman"/>
                <w:sz w:val="14"/>
                <w:szCs w:val="14"/>
                <w:b w:val="1"/>
                <w:bCs w:val="1"/>
                <w:color w:val="auto"/>
              </w:rPr>
              <w:t>Total Consolidated</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10"/>
        </w:trPr>
        <w:tc>
          <w:tcPr>
            <w:tcW w:w="5620" w:type="dxa"/>
            <w:vAlign w:val="bottom"/>
            <w:vMerge w:val="continue"/>
          </w:tcPr>
          <w:p>
            <w:pPr>
              <w:spacing w:after="0"/>
              <w:rPr>
                <w:sz w:val="18"/>
                <w:szCs w:val="18"/>
                <w:color w:val="auto"/>
              </w:rPr>
            </w:pPr>
          </w:p>
        </w:tc>
        <w:tc>
          <w:tcPr>
            <w:tcW w:w="200" w:type="dxa"/>
            <w:vAlign w:val="bottom"/>
            <w:tcBorders>
              <w:top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124,484</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Borders>
              <w:top w:val="single" w:sz="8" w:color="auto"/>
            </w:tcBorders>
          </w:tcPr>
          <w:p>
            <w:pPr>
              <w:spacing w:after="0"/>
              <w:rPr>
                <w:sz w:val="18"/>
                <w:szCs w:val="18"/>
                <w:color w:val="auto"/>
              </w:rPr>
            </w:pPr>
          </w:p>
        </w:tc>
        <w:tc>
          <w:tcPr>
            <w:tcW w:w="1500" w:type="dxa"/>
            <w:vAlign w:val="bottom"/>
            <w:tcBorders>
              <w:top w:val="single" w:sz="8" w:color="auto"/>
            </w:tcBorders>
          </w:tcPr>
          <w:p>
            <w:pPr>
              <w:spacing w:after="0"/>
              <w:rPr>
                <w:sz w:val="18"/>
                <w:szCs w:val="18"/>
                <w:color w:val="auto"/>
              </w:rPr>
            </w:pP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200" w:type="dxa"/>
            <w:vAlign w:val="bottom"/>
            <w:tcBorders>
              <w:top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124,484</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expenses</w:t>
            </w: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(127,247 )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(40,022 )</w:t>
            </w:r>
          </w:p>
        </w:tc>
        <w:tc>
          <w:tcPr>
            <w:tcW w:w="16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(167,269 )</w:t>
            </w:r>
          </w:p>
        </w:tc>
        <w:tc>
          <w:tcPr>
            <w:tcW w:w="0" w:type="dxa"/>
            <w:vAlign w:val="bottom"/>
          </w:tcPr>
          <w:p>
            <w:pPr>
              <w:spacing w:after="0"/>
              <w:rPr>
                <w:sz w:val="1"/>
                <w:szCs w:val="1"/>
                <w:color w:val="auto"/>
              </w:rPr>
            </w:pPr>
          </w:p>
        </w:tc>
      </w:tr>
      <w:tr>
        <w:trPr>
          <w:trHeight w:val="20"/>
        </w:trPr>
        <w:tc>
          <w:tcPr>
            <w:tcW w:w="5620" w:type="dxa"/>
            <w:vAlign w:val="bottom"/>
            <w:shd w:val="clear" w:color="auto" w:fill="CFF0FC"/>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80" w:type="dxa"/>
            <w:vAlign w:val="bottom"/>
            <w:shd w:val="clear" w:color="auto" w:fill="000000"/>
          </w:tcPr>
          <w:p>
            <w:pPr>
              <w:spacing w:after="0" w:line="20" w:lineRule="exact"/>
              <w:rPr>
                <w:sz w:val="1"/>
                <w:szCs w:val="1"/>
                <w:color w:val="auto"/>
              </w:rPr>
            </w:pPr>
          </w:p>
        </w:tc>
        <w:tc>
          <w:tcPr>
            <w:tcW w:w="100" w:type="dxa"/>
            <w:vAlign w:val="bottom"/>
            <w:tcBorders>
              <w:right w:val="single" w:sz="8" w:color="CFF0FC"/>
            </w:tcBorders>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50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6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10"/>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Loss from operations</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(2,763 )</w:t>
            </w:r>
          </w:p>
        </w:tc>
        <w:tc>
          <w:tcPr>
            <w:tcW w:w="3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(40,022 )</w:t>
            </w:r>
          </w:p>
        </w:tc>
        <w:tc>
          <w:tcPr>
            <w:tcW w:w="160" w:type="dxa"/>
            <w:vAlign w:val="bottom"/>
          </w:tcPr>
          <w:p>
            <w:pPr>
              <w:spacing w:after="0"/>
              <w:rPr>
                <w:sz w:val="18"/>
                <w:szCs w:val="18"/>
                <w:color w:val="auto"/>
              </w:rPr>
            </w:pP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6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(42,785 )</w:t>
            </w:r>
          </w:p>
        </w:tc>
        <w:tc>
          <w:tcPr>
            <w:tcW w:w="0" w:type="dxa"/>
            <w:vAlign w:val="bottom"/>
          </w:tcPr>
          <w:p>
            <w:pPr>
              <w:spacing w:after="0"/>
              <w:rPr>
                <w:sz w:val="1"/>
                <w:szCs w:val="1"/>
                <w:color w:val="auto"/>
              </w:rPr>
            </w:pPr>
          </w:p>
        </w:tc>
      </w:tr>
      <w:tr>
        <w:trPr>
          <w:trHeight w:val="20"/>
        </w:trPr>
        <w:tc>
          <w:tcPr>
            <w:tcW w:w="562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4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4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7"/>
        </w:trPr>
        <w:tc>
          <w:tcPr>
            <w:tcW w:w="562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Interest expense, net</w:t>
            </w:r>
          </w:p>
        </w:tc>
        <w:tc>
          <w:tcPr>
            <w:tcW w:w="200" w:type="dxa"/>
            <w:vAlign w:val="bottom"/>
            <w:shd w:val="clear" w:color="auto" w:fill="CFF0FC"/>
          </w:tcPr>
          <w:p>
            <w:pPr>
              <w:spacing w:after="0"/>
              <w:rPr>
                <w:sz w:val="17"/>
                <w:szCs w:val="17"/>
                <w:color w:val="auto"/>
              </w:rPr>
            </w:pPr>
          </w:p>
        </w:tc>
        <w:tc>
          <w:tcPr>
            <w:tcW w:w="1480" w:type="dxa"/>
            <w:vAlign w:val="bottom"/>
            <w:shd w:val="clear" w:color="auto" w:fill="CFF0FC"/>
          </w:tcPr>
          <w:p>
            <w:pPr>
              <w:spacing w:after="0"/>
              <w:rPr>
                <w:sz w:val="17"/>
                <w:szCs w:val="17"/>
                <w:color w:val="auto"/>
              </w:rPr>
            </w:pPr>
          </w:p>
        </w:tc>
        <w:tc>
          <w:tcPr>
            <w:tcW w:w="100" w:type="dxa"/>
            <w:vAlign w:val="bottom"/>
            <w:tcBorders>
              <w:right w:val="single" w:sz="8" w:color="CFF0FC"/>
            </w:tcBorders>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600" w:type="dxa"/>
            <w:vAlign w:val="bottom"/>
            <w:gridSpan w:val="2"/>
            <w:shd w:val="clear" w:color="auto" w:fill="CFF0FC"/>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(11,929 )</w:t>
            </w:r>
          </w:p>
        </w:tc>
        <w:tc>
          <w:tcPr>
            <w:tcW w:w="16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1560" w:type="dxa"/>
            <w:vAlign w:val="bottom"/>
            <w:gridSpan w:val="2"/>
            <w:shd w:val="clear" w:color="auto" w:fill="CFF0FC"/>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(11,929 )</w:t>
            </w:r>
          </w:p>
        </w:tc>
        <w:tc>
          <w:tcPr>
            <w:tcW w:w="0" w:type="dxa"/>
            <w:vAlign w:val="bottom"/>
          </w:tcPr>
          <w:p>
            <w:pPr>
              <w:spacing w:after="0"/>
              <w:rPr>
                <w:sz w:val="1"/>
                <w:szCs w:val="1"/>
                <w:color w:val="auto"/>
              </w:rPr>
            </w:pPr>
          </w:p>
        </w:tc>
      </w:tr>
      <w:tr>
        <w:trPr>
          <w:trHeight w:val="216"/>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Income tax benefit</w:t>
            </w:r>
          </w:p>
        </w:tc>
        <w:tc>
          <w:tcPr>
            <w:tcW w:w="200" w:type="dxa"/>
            <w:vAlign w:val="bottom"/>
          </w:tcPr>
          <w:p>
            <w:pPr>
              <w:spacing w:after="0"/>
              <w:rPr>
                <w:sz w:val="18"/>
                <w:szCs w:val="18"/>
                <w:color w:val="auto"/>
              </w:rPr>
            </w:pP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17,557</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132,213</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149,770</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segment items to reconcile to net income</w:t>
            </w: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(5,930 )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(5,930 )</w:t>
            </w:r>
          </w:p>
        </w:tc>
        <w:tc>
          <w:tcPr>
            <w:tcW w:w="0" w:type="dxa"/>
            <w:vAlign w:val="bottom"/>
          </w:tcPr>
          <w:p>
            <w:pPr>
              <w:spacing w:after="0"/>
              <w:rPr>
                <w:sz w:val="1"/>
                <w:szCs w:val="1"/>
                <w:color w:val="auto"/>
              </w:rPr>
            </w:pPr>
          </w:p>
        </w:tc>
      </w:tr>
      <w:tr>
        <w:trPr>
          <w:trHeight w:val="210"/>
        </w:trPr>
        <w:tc>
          <w:tcPr>
            <w:tcW w:w="562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8"/>
                <w:szCs w:val="18"/>
                <w:color w:val="auto"/>
              </w:rPr>
              <w:t>Net income</w:t>
            </w:r>
          </w:p>
        </w:tc>
        <w:tc>
          <w:tcPr>
            <w:tcW w:w="200" w:type="dxa"/>
            <w:vAlign w:val="bottom"/>
            <w:tcBorders>
              <w:top w:val="single" w:sz="8" w:color="auto"/>
              <w:bottom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8,864</w:t>
            </w:r>
          </w:p>
        </w:tc>
        <w:tc>
          <w:tcPr>
            <w:tcW w:w="100" w:type="dxa"/>
            <w:vAlign w:val="bottom"/>
            <w:tcBorders>
              <w:top w:val="single" w:sz="8" w:color="CFF0FC"/>
            </w:tcBorders>
          </w:tcPr>
          <w:p>
            <w:pPr>
              <w:spacing w:after="0"/>
              <w:rPr>
                <w:sz w:val="18"/>
                <w:szCs w:val="18"/>
                <w:color w:val="auto"/>
              </w:rPr>
            </w:pPr>
          </w:p>
        </w:tc>
        <w:tc>
          <w:tcPr>
            <w:tcW w:w="320" w:type="dxa"/>
            <w:vAlign w:val="bottom"/>
            <w:tcBorders>
              <w:top w:val="single" w:sz="8" w:color="auto"/>
              <w:bottom w:val="single" w:sz="8" w:color="auto"/>
            </w:tcBorders>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80,262</w:t>
            </w:r>
          </w:p>
        </w:tc>
        <w:tc>
          <w:tcPr>
            <w:tcW w:w="100" w:type="dxa"/>
            <w:vAlign w:val="bottom"/>
            <w:tcBorders>
              <w:top w:val="single" w:sz="8" w:color="CFF0FC"/>
            </w:tcBorders>
          </w:tcPr>
          <w:p>
            <w:pPr>
              <w:spacing w:after="0"/>
              <w:rPr>
                <w:sz w:val="18"/>
                <w:szCs w:val="18"/>
                <w:color w:val="auto"/>
              </w:rPr>
            </w:pPr>
          </w:p>
        </w:tc>
        <w:tc>
          <w:tcPr>
            <w:tcW w:w="160" w:type="dxa"/>
            <w:vAlign w:val="bottom"/>
            <w:tcBorders>
              <w:top w:val="single" w:sz="8" w:color="auto"/>
              <w:bottom w:val="single" w:sz="8" w:color="auto"/>
            </w:tcBorders>
          </w:tcPr>
          <w:p>
            <w:pPr>
              <w:spacing w:after="0"/>
              <w:rPr>
                <w:sz w:val="18"/>
                <w:szCs w:val="18"/>
                <w:color w:val="auto"/>
              </w:rPr>
            </w:pPr>
          </w:p>
        </w:tc>
        <w:tc>
          <w:tcPr>
            <w:tcW w:w="200" w:type="dxa"/>
            <w:vAlign w:val="bottom"/>
            <w:tcBorders>
              <w:top w:val="single" w:sz="8" w:color="auto"/>
              <w:bottom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6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89,126</w:t>
            </w:r>
          </w:p>
        </w:tc>
        <w:tc>
          <w:tcPr>
            <w:tcW w:w="100" w:type="dxa"/>
            <w:vAlign w:val="bottom"/>
            <w:tcBorders>
              <w:top w:val="single" w:sz="8" w:color="CFF0FC"/>
            </w:tcBorders>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5620" w:type="dxa"/>
            <w:vAlign w:val="bottom"/>
          </w:tcPr>
          <w:p>
            <w:pPr>
              <w:spacing w:after="0" w:line="20" w:lineRule="exact"/>
              <w:rPr>
                <w:sz w:val="1"/>
                <w:szCs w:val="1"/>
                <w:color w:val="auto"/>
              </w:rPr>
            </w:pPr>
          </w:p>
        </w:tc>
        <w:tc>
          <w:tcPr>
            <w:tcW w:w="200" w:type="dxa"/>
            <w:vAlign w:val="bottom"/>
            <w:tcBorders>
              <w:bottom w:val="single" w:sz="8" w:color="auto"/>
            </w:tcBorders>
          </w:tcPr>
          <w:p>
            <w:pPr>
              <w:spacing w:after="0" w:line="20" w:lineRule="exact"/>
              <w:rPr>
                <w:sz w:val="1"/>
                <w:szCs w:val="1"/>
                <w:color w:val="auto"/>
              </w:rPr>
            </w:pPr>
          </w:p>
        </w:tc>
        <w:tc>
          <w:tcPr>
            <w:tcW w:w="148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150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200" w:type="dxa"/>
            <w:vAlign w:val="bottom"/>
            <w:tcBorders>
              <w:bottom w:val="single" w:sz="8" w:color="auto"/>
            </w:tcBorders>
          </w:tcPr>
          <w:p>
            <w:pPr>
              <w:spacing w:after="0" w:line="20" w:lineRule="exact"/>
              <w:rPr>
                <w:sz w:val="1"/>
                <w:szCs w:val="1"/>
                <w:color w:val="auto"/>
              </w:rPr>
            </w:pPr>
          </w:p>
        </w:tc>
        <w:tc>
          <w:tcPr>
            <w:tcW w:w="146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7"/>
        </w:trPr>
        <w:tc>
          <w:tcPr>
            <w:tcW w:w="562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Total assets, as of December 31, 2023</w:t>
            </w:r>
          </w:p>
        </w:tc>
        <w:tc>
          <w:tcPr>
            <w:tcW w:w="200" w:type="dxa"/>
            <w:vAlign w:val="bottom"/>
            <w:shd w:val="clear" w:color="auto" w:fill="CFF0FC"/>
          </w:tcPr>
          <w:p>
            <w:pPr>
              <w:jc w:val="right"/>
              <w:ind w:right="10"/>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470,353</w:t>
            </w:r>
          </w:p>
        </w:tc>
        <w:tc>
          <w:tcPr>
            <w:tcW w:w="100" w:type="dxa"/>
            <w:vAlign w:val="bottom"/>
            <w:tcBorders>
              <w:right w:val="single" w:sz="8" w:color="CFF0FC"/>
            </w:tcBorders>
            <w:shd w:val="clear" w:color="auto" w:fill="CFF0FC"/>
          </w:tcPr>
          <w:p>
            <w:pPr>
              <w:spacing w:after="0"/>
              <w:rPr>
                <w:sz w:val="17"/>
                <w:szCs w:val="17"/>
                <w:color w:val="auto"/>
              </w:rPr>
            </w:pPr>
          </w:p>
        </w:tc>
        <w:tc>
          <w:tcPr>
            <w:tcW w:w="320" w:type="dxa"/>
            <w:vAlign w:val="bottom"/>
            <w:gridSpan w:val="2"/>
            <w:shd w:val="clear" w:color="auto" w:fill="CFF0FC"/>
          </w:tcPr>
          <w:p>
            <w:pPr>
              <w:jc w:val="right"/>
              <w:ind w:right="6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50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4,292,175</w:t>
            </w:r>
          </w:p>
        </w:tc>
        <w:tc>
          <w:tcPr>
            <w:tcW w:w="1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200" w:type="dxa"/>
            <w:vAlign w:val="bottom"/>
            <w:shd w:val="clear" w:color="auto" w:fill="CFF0FC"/>
          </w:tcPr>
          <w:p>
            <w:pPr>
              <w:jc w:val="right"/>
              <w:ind w:right="10"/>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4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4,762,528</w:t>
            </w:r>
          </w:p>
        </w:tc>
        <w:tc>
          <w:tcPr>
            <w:tcW w:w="10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445"/>
        </w:trPr>
        <w:tc>
          <w:tcPr>
            <w:tcW w:w="5620" w:type="dxa"/>
            <w:vAlign w:val="bottom"/>
          </w:tcPr>
          <w:p>
            <w:pPr>
              <w:spacing w:after="0"/>
              <w:rPr>
                <w:sz w:val="24"/>
                <w:szCs w:val="24"/>
                <w:color w:val="auto"/>
              </w:rPr>
            </w:pPr>
          </w:p>
        </w:tc>
        <w:tc>
          <w:tcPr>
            <w:tcW w:w="200" w:type="dxa"/>
            <w:vAlign w:val="bottom"/>
            <w:tcBorders>
              <w:bottom w:val="single" w:sz="8" w:color="auto"/>
            </w:tcBorders>
          </w:tcPr>
          <w:p>
            <w:pPr>
              <w:spacing w:after="0"/>
              <w:rPr>
                <w:sz w:val="24"/>
                <w:szCs w:val="24"/>
                <w:color w:val="auto"/>
              </w:rPr>
            </w:pPr>
          </w:p>
        </w:tc>
        <w:tc>
          <w:tcPr>
            <w:tcW w:w="1480" w:type="dxa"/>
            <w:vAlign w:val="bottom"/>
            <w:tcBorders>
              <w:bottom w:val="single" w:sz="8" w:color="auto"/>
            </w:tcBorders>
          </w:tcPr>
          <w:p>
            <w:pPr>
              <w:spacing w:after="0"/>
              <w:rPr>
                <w:sz w:val="24"/>
                <w:szCs w:val="24"/>
                <w:color w:val="auto"/>
              </w:rPr>
            </w:pPr>
          </w:p>
        </w:tc>
        <w:tc>
          <w:tcPr>
            <w:tcW w:w="100" w:type="dxa"/>
            <w:vAlign w:val="bottom"/>
            <w:tcBorders>
              <w:bottom w:val="single" w:sz="8" w:color="auto"/>
            </w:tcBorders>
          </w:tcPr>
          <w:p>
            <w:pPr>
              <w:spacing w:after="0"/>
              <w:rPr>
                <w:sz w:val="24"/>
                <w:szCs w:val="24"/>
                <w:color w:val="auto"/>
              </w:rPr>
            </w:pPr>
          </w:p>
        </w:tc>
        <w:tc>
          <w:tcPr>
            <w:tcW w:w="2080" w:type="dxa"/>
            <w:vAlign w:val="bottom"/>
            <w:tcBorders>
              <w:bottom w:val="single" w:sz="8" w:color="auto"/>
            </w:tcBorders>
            <w:gridSpan w:val="5"/>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Year-Ended December 31, 2024</w:t>
            </w:r>
          </w:p>
        </w:tc>
        <w:tc>
          <w:tcPr>
            <w:tcW w:w="200" w:type="dxa"/>
            <w:vAlign w:val="bottom"/>
            <w:tcBorders>
              <w:bottom w:val="single" w:sz="8" w:color="auto"/>
            </w:tcBorders>
          </w:tcPr>
          <w:p>
            <w:pPr>
              <w:spacing w:after="0"/>
              <w:rPr>
                <w:sz w:val="24"/>
                <w:szCs w:val="24"/>
                <w:color w:val="auto"/>
              </w:rPr>
            </w:pPr>
          </w:p>
        </w:tc>
        <w:tc>
          <w:tcPr>
            <w:tcW w:w="1460" w:type="dxa"/>
            <w:vAlign w:val="bottom"/>
            <w:tcBorders>
              <w:bottom w:val="single" w:sz="8" w:color="auto"/>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42"/>
        </w:trPr>
        <w:tc>
          <w:tcPr>
            <w:tcW w:w="56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580" w:type="dxa"/>
            <w:vAlign w:val="bottom"/>
            <w:gridSpan w:val="2"/>
          </w:tcPr>
          <w:p>
            <w:pPr>
              <w:jc w:val="right"/>
              <w:ind w:right="380"/>
              <w:spacing w:after="0" w:line="142" w:lineRule="exact"/>
              <w:rPr>
                <w:sz w:val="20"/>
                <w:szCs w:val="20"/>
                <w:color w:val="auto"/>
              </w:rPr>
            </w:pPr>
            <w:r>
              <w:rPr>
                <w:rFonts w:ascii="Times New Roman" w:cs="Times New Roman" w:eastAsia="Times New Roman" w:hAnsi="Times New Roman"/>
                <w:sz w:val="14"/>
                <w:szCs w:val="14"/>
                <w:b w:val="1"/>
                <w:bCs w:val="1"/>
                <w:color w:val="auto"/>
              </w:rPr>
              <w:t>Software Business</w:t>
            </w: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60" w:type="dxa"/>
            <w:vAlign w:val="bottom"/>
            <w:gridSpan w:val="3"/>
          </w:tcPr>
          <w:p>
            <w:pPr>
              <w:jc w:val="center"/>
              <w:ind w:right="440"/>
              <w:spacing w:after="0" w:line="142" w:lineRule="exact"/>
              <w:rPr>
                <w:sz w:val="20"/>
                <w:szCs w:val="20"/>
                <w:color w:val="auto"/>
              </w:rPr>
            </w:pPr>
            <w:r>
              <w:rPr>
                <w:rFonts w:ascii="Times New Roman" w:cs="Times New Roman" w:eastAsia="Times New Roman" w:hAnsi="Times New Roman"/>
                <w:sz w:val="14"/>
                <w:szCs w:val="14"/>
                <w:b w:val="1"/>
                <w:bCs w:val="1"/>
                <w:color w:val="auto"/>
              </w:rPr>
              <w:t>Corporate &amp; Other</w:t>
            </w:r>
          </w:p>
        </w:tc>
        <w:tc>
          <w:tcPr>
            <w:tcW w:w="200" w:type="dxa"/>
            <w:vAlign w:val="bottom"/>
          </w:tcPr>
          <w:p>
            <w:pPr>
              <w:spacing w:after="0"/>
              <w:rPr>
                <w:sz w:val="12"/>
                <w:szCs w:val="12"/>
                <w:color w:val="auto"/>
              </w:rPr>
            </w:pPr>
          </w:p>
        </w:tc>
        <w:tc>
          <w:tcPr>
            <w:tcW w:w="1460" w:type="dxa"/>
            <w:vAlign w:val="bottom"/>
          </w:tcPr>
          <w:p>
            <w:pPr>
              <w:jc w:val="right"/>
              <w:ind w:right="172"/>
              <w:spacing w:after="0" w:line="142" w:lineRule="exact"/>
              <w:rPr>
                <w:sz w:val="20"/>
                <w:szCs w:val="20"/>
                <w:color w:val="auto"/>
              </w:rPr>
            </w:pPr>
            <w:r>
              <w:rPr>
                <w:rFonts w:ascii="Times New Roman" w:cs="Times New Roman" w:eastAsia="Times New Roman" w:hAnsi="Times New Roman"/>
                <w:sz w:val="14"/>
                <w:szCs w:val="14"/>
                <w:b w:val="1"/>
                <w:bCs w:val="1"/>
                <w:color w:val="auto"/>
              </w:rPr>
              <w:t>Total Consolidated</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09"/>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200" w:type="dxa"/>
            <w:vAlign w:val="bottom"/>
            <w:tcBorders>
              <w:top w:val="single" w:sz="8" w:color="auto"/>
            </w:tcBorders>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463,456</w:t>
            </w: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tcBorders>
              <w:top w:val="single" w:sz="8" w:color="auto"/>
            </w:tcBorders>
            <w:shd w:val="clear" w:color="auto" w:fill="CFF0FC"/>
          </w:tcPr>
          <w:p>
            <w:pPr>
              <w:spacing w:after="0"/>
              <w:rPr>
                <w:sz w:val="18"/>
                <w:szCs w:val="18"/>
                <w:color w:val="auto"/>
              </w:rPr>
            </w:pPr>
          </w:p>
        </w:tc>
        <w:tc>
          <w:tcPr>
            <w:tcW w:w="1500" w:type="dxa"/>
            <w:vAlign w:val="bottom"/>
            <w:tcBorders>
              <w:top w:val="single" w:sz="8" w:color="auto"/>
            </w:tcBorders>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200" w:type="dxa"/>
            <w:vAlign w:val="bottom"/>
            <w:tcBorders>
              <w:top w:val="single" w:sz="8" w:color="auto"/>
            </w:tcBorders>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6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463,456</w:t>
            </w:r>
          </w:p>
        </w:tc>
        <w:tc>
          <w:tcPr>
            <w:tcW w:w="10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expenses</w:t>
            </w: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(518,863 )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(1,797,571 )</w:t>
            </w:r>
          </w:p>
        </w:tc>
        <w:tc>
          <w:tcPr>
            <w:tcW w:w="1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(2,316,434 )</w:t>
            </w:r>
          </w:p>
        </w:tc>
        <w:tc>
          <w:tcPr>
            <w:tcW w:w="0" w:type="dxa"/>
            <w:vAlign w:val="bottom"/>
          </w:tcPr>
          <w:p>
            <w:pPr>
              <w:spacing w:after="0"/>
              <w:rPr>
                <w:sz w:val="1"/>
                <w:szCs w:val="1"/>
                <w:color w:val="auto"/>
              </w:rPr>
            </w:pPr>
          </w:p>
        </w:tc>
      </w:tr>
      <w:tr>
        <w:trPr>
          <w:trHeight w:val="20"/>
        </w:trPr>
        <w:tc>
          <w:tcPr>
            <w:tcW w:w="562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5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6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29"/>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Loss from operations</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(55,407 )</w:t>
            </w:r>
          </w:p>
        </w:tc>
        <w:tc>
          <w:tcPr>
            <w:tcW w:w="32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(1,797,571 )</w:t>
            </w:r>
          </w:p>
        </w:tc>
        <w:tc>
          <w:tcPr>
            <w:tcW w:w="160" w:type="dxa"/>
            <w:vAlign w:val="bottom"/>
            <w:shd w:val="clear" w:color="auto" w:fill="CFF0FC"/>
          </w:tcPr>
          <w:p>
            <w:pPr>
              <w:spacing w:after="0"/>
              <w:rPr>
                <w:sz w:val="19"/>
                <w:szCs w:val="19"/>
                <w:color w:val="auto"/>
              </w:rPr>
            </w:pP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(1,852,978 )</w:t>
            </w:r>
          </w:p>
        </w:tc>
        <w:tc>
          <w:tcPr>
            <w:tcW w:w="0" w:type="dxa"/>
            <w:vAlign w:val="bottom"/>
          </w:tcPr>
          <w:p>
            <w:pPr>
              <w:spacing w:after="0"/>
              <w:rPr>
                <w:sz w:val="1"/>
                <w:szCs w:val="1"/>
                <w:color w:val="auto"/>
              </w:rPr>
            </w:pPr>
          </w:p>
        </w:tc>
      </w:tr>
      <w:tr>
        <w:trPr>
          <w:trHeight w:val="20"/>
        </w:trPr>
        <w:tc>
          <w:tcPr>
            <w:tcW w:w="562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4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right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50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46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7"/>
        </w:trPr>
        <w:tc>
          <w:tcPr>
            <w:tcW w:w="5620" w:type="dxa"/>
            <w:vAlign w:val="bottom"/>
          </w:tcPr>
          <w:p>
            <w:pPr>
              <w:ind w:left="20"/>
              <w:spacing w:after="0" w:line="196" w:lineRule="exact"/>
              <w:rPr>
                <w:sz w:val="20"/>
                <w:szCs w:val="20"/>
                <w:color w:val="auto"/>
              </w:rPr>
            </w:pPr>
            <w:r>
              <w:rPr>
                <w:rFonts w:ascii="Times New Roman" w:cs="Times New Roman" w:eastAsia="Times New Roman" w:hAnsi="Times New Roman"/>
                <w:sz w:val="18"/>
                <w:szCs w:val="18"/>
                <w:color w:val="auto"/>
              </w:rPr>
              <w:t>Interest expense, net</w:t>
            </w:r>
          </w:p>
        </w:tc>
        <w:tc>
          <w:tcPr>
            <w:tcW w:w="200" w:type="dxa"/>
            <w:vAlign w:val="bottom"/>
          </w:tcPr>
          <w:p>
            <w:pPr>
              <w:spacing w:after="0"/>
              <w:rPr>
                <w:sz w:val="17"/>
                <w:szCs w:val="17"/>
                <w:color w:val="auto"/>
              </w:rPr>
            </w:pPr>
          </w:p>
        </w:tc>
        <w:tc>
          <w:tcPr>
            <w:tcW w:w="148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600" w:type="dxa"/>
            <w:vAlign w:val="bottom"/>
            <w:gridSpan w:val="2"/>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(61,941 )</w:t>
            </w:r>
          </w:p>
        </w:tc>
        <w:tc>
          <w:tcPr>
            <w:tcW w:w="16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1560" w:type="dxa"/>
            <w:vAlign w:val="bottom"/>
            <w:gridSpan w:val="2"/>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(61,941 )</w:t>
            </w:r>
          </w:p>
        </w:tc>
        <w:tc>
          <w:tcPr>
            <w:tcW w:w="0" w:type="dxa"/>
            <w:vAlign w:val="bottom"/>
          </w:tcPr>
          <w:p>
            <w:pPr>
              <w:spacing w:after="0"/>
              <w:rPr>
                <w:sz w:val="1"/>
                <w:szCs w:val="1"/>
                <w:color w:val="auto"/>
              </w:rPr>
            </w:pPr>
          </w:p>
        </w:tc>
      </w:tr>
      <w:tr>
        <w:trPr>
          <w:trHeight w:val="216"/>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Loss on debt extinguishment</w:t>
            </w: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(22,933 )</w:t>
            </w:r>
          </w:p>
        </w:tc>
        <w:tc>
          <w:tcPr>
            <w:tcW w:w="16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(22,933 )</w:t>
            </w:r>
          </w:p>
        </w:tc>
        <w:tc>
          <w:tcPr>
            <w:tcW w:w="0" w:type="dxa"/>
            <w:vAlign w:val="bottom"/>
          </w:tcPr>
          <w:p>
            <w:pPr>
              <w:spacing w:after="0"/>
              <w:rPr>
                <w:sz w:val="1"/>
                <w:szCs w:val="1"/>
                <w:color w:val="auto"/>
              </w:rPr>
            </w:pPr>
          </w:p>
        </w:tc>
      </w:tr>
      <w:tr>
        <w:trPr>
          <w:trHeight w:val="216"/>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Income tax benefit</w:t>
            </w:r>
          </w:p>
        </w:tc>
        <w:tc>
          <w:tcPr>
            <w:tcW w:w="200" w:type="dxa"/>
            <w:vAlign w:val="bottom"/>
          </w:tcPr>
          <w:p>
            <w:pPr>
              <w:spacing w:after="0"/>
              <w:rPr>
                <w:sz w:val="18"/>
                <w:szCs w:val="18"/>
                <w:color w:val="auto"/>
              </w:rPr>
            </w:pP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226,961</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540,724</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4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767,685</w:t>
            </w:r>
          </w:p>
        </w:tc>
        <w:tc>
          <w:tcPr>
            <w:tcW w:w="10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56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segment items to reconcile to net income (loss)</w:t>
            </w:r>
          </w:p>
        </w:tc>
        <w:tc>
          <w:tcPr>
            <w:tcW w:w="200" w:type="dxa"/>
            <w:vAlign w:val="bottom"/>
            <w:tcBorders>
              <w:bottom w:val="single" w:sz="8" w:color="auto"/>
            </w:tcBorders>
            <w:shd w:val="clear" w:color="auto" w:fill="CFF0FC"/>
          </w:tcPr>
          <w:p>
            <w:pPr>
              <w:spacing w:after="0"/>
              <w:rPr>
                <w:sz w:val="18"/>
                <w:szCs w:val="18"/>
                <w:color w:val="auto"/>
              </w:rPr>
            </w:pPr>
          </w:p>
        </w:tc>
        <w:tc>
          <w:tcPr>
            <w:tcW w:w="1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3,506</w:t>
            </w:r>
          </w:p>
        </w:tc>
        <w:tc>
          <w:tcPr>
            <w:tcW w:w="100" w:type="dxa"/>
            <w:vAlign w:val="bottom"/>
            <w:tcBorders>
              <w:bottom w:val="single" w:sz="8" w:color="CFF0FC"/>
              <w:right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1500" w:type="dxa"/>
            <w:vAlign w:val="bottom"/>
            <w:tcBorders>
              <w:bottom w:val="single" w:sz="8" w:color="auto"/>
            </w:tcBorders>
            <w:shd w:val="clear" w:color="auto" w:fill="CFF0FC"/>
          </w:tcPr>
          <w:p>
            <w:pPr>
              <w:spacing w:after="0"/>
              <w:rPr>
                <w:sz w:val="18"/>
                <w:szCs w:val="18"/>
                <w:color w:val="auto"/>
              </w:rPr>
            </w:pPr>
          </w:p>
        </w:tc>
        <w:tc>
          <w:tcPr>
            <w:tcW w:w="100" w:type="dxa"/>
            <w:vAlign w:val="bottom"/>
            <w:tcBorders>
              <w:bottom w:val="single" w:sz="8" w:color="CFF0FC"/>
            </w:tcBorders>
            <w:shd w:val="clear" w:color="auto" w:fill="CFF0FC"/>
          </w:tcPr>
          <w:p>
            <w:pPr>
              <w:spacing w:after="0"/>
              <w:rPr>
                <w:sz w:val="18"/>
                <w:szCs w:val="18"/>
                <w:color w:val="auto"/>
              </w:rPr>
            </w:pPr>
          </w:p>
        </w:tc>
        <w:tc>
          <w:tcPr>
            <w:tcW w:w="160" w:type="dxa"/>
            <w:vAlign w:val="bottom"/>
            <w:tcBorders>
              <w:bottom w:val="single" w:sz="8" w:color="auto"/>
            </w:tcBorders>
            <w:shd w:val="clear" w:color="auto" w:fill="CFF0FC"/>
          </w:tcPr>
          <w:p>
            <w:pPr>
              <w:spacing w:after="0"/>
              <w:rPr>
                <w:sz w:val="18"/>
                <w:szCs w:val="18"/>
                <w:color w:val="auto"/>
              </w:rPr>
            </w:pPr>
          </w:p>
        </w:tc>
        <w:tc>
          <w:tcPr>
            <w:tcW w:w="200" w:type="dxa"/>
            <w:vAlign w:val="bottom"/>
            <w:tcBorders>
              <w:bottom w:val="single" w:sz="8" w:color="auto"/>
            </w:tcBorders>
            <w:shd w:val="clear" w:color="auto" w:fill="CFF0FC"/>
          </w:tcPr>
          <w:p>
            <w:pPr>
              <w:spacing w:after="0"/>
              <w:rPr>
                <w:sz w:val="18"/>
                <w:szCs w:val="18"/>
                <w:color w:val="auto"/>
              </w:rPr>
            </w:pPr>
          </w:p>
        </w:tc>
        <w:tc>
          <w:tcPr>
            <w:tcW w:w="14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3,506</w:t>
            </w:r>
          </w:p>
        </w:tc>
        <w:tc>
          <w:tcPr>
            <w:tcW w:w="100" w:type="dxa"/>
            <w:vAlign w:val="bottom"/>
            <w:tcBorders>
              <w:bottom w:val="single" w:sz="8" w:color="CFF0FC"/>
            </w:tcBorders>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10"/>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Net income (loss)</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175,060</w:t>
            </w:r>
          </w:p>
        </w:tc>
        <w:tc>
          <w:tcPr>
            <w:tcW w:w="100" w:type="dxa"/>
            <w:vAlign w:val="bottom"/>
          </w:tcPr>
          <w:p>
            <w:pPr>
              <w:spacing w:after="0"/>
              <w:rPr>
                <w:sz w:val="18"/>
                <w:szCs w:val="18"/>
                <w:color w:val="auto"/>
              </w:rPr>
            </w:pPr>
          </w:p>
        </w:tc>
        <w:tc>
          <w:tcPr>
            <w:tcW w:w="3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(1,341,721 )</w:t>
            </w:r>
          </w:p>
        </w:tc>
        <w:tc>
          <w:tcPr>
            <w:tcW w:w="160" w:type="dxa"/>
            <w:vAlign w:val="bottom"/>
          </w:tcPr>
          <w:p>
            <w:pPr>
              <w:spacing w:after="0"/>
              <w:rPr>
                <w:sz w:val="18"/>
                <w:szCs w:val="18"/>
                <w:color w:val="auto"/>
              </w:rPr>
            </w:pP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6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(1,166,661 )</w:t>
            </w:r>
          </w:p>
        </w:tc>
        <w:tc>
          <w:tcPr>
            <w:tcW w:w="0" w:type="dxa"/>
            <w:vAlign w:val="bottom"/>
          </w:tcPr>
          <w:p>
            <w:pPr>
              <w:spacing w:after="0"/>
              <w:rPr>
                <w:sz w:val="1"/>
                <w:szCs w:val="1"/>
                <w:color w:val="auto"/>
              </w:rPr>
            </w:pPr>
          </w:p>
        </w:tc>
      </w:tr>
      <w:tr>
        <w:trPr>
          <w:trHeight w:val="20"/>
        </w:trPr>
        <w:tc>
          <w:tcPr>
            <w:tcW w:w="562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4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150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4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6"/>
        </w:trPr>
        <w:tc>
          <w:tcPr>
            <w:tcW w:w="562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Total assets, as of December 31, 2024</w:t>
            </w:r>
          </w:p>
        </w:tc>
        <w:tc>
          <w:tcPr>
            <w:tcW w:w="200" w:type="dxa"/>
            <w:vAlign w:val="bottom"/>
            <w:shd w:val="clear" w:color="auto" w:fill="CFF0FC"/>
          </w:tcPr>
          <w:p>
            <w:pPr>
              <w:jc w:val="right"/>
              <w:ind w:right="10"/>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743,190</w:t>
            </w:r>
          </w:p>
        </w:tc>
        <w:tc>
          <w:tcPr>
            <w:tcW w:w="100" w:type="dxa"/>
            <w:vAlign w:val="bottom"/>
            <w:tcBorders>
              <w:right w:val="single" w:sz="8" w:color="CFF0FC"/>
            </w:tcBorders>
            <w:shd w:val="clear" w:color="auto" w:fill="CFF0FC"/>
          </w:tcPr>
          <w:p>
            <w:pPr>
              <w:spacing w:after="0"/>
              <w:rPr>
                <w:sz w:val="17"/>
                <w:szCs w:val="17"/>
                <w:color w:val="auto"/>
              </w:rPr>
            </w:pPr>
          </w:p>
        </w:tc>
        <w:tc>
          <w:tcPr>
            <w:tcW w:w="320" w:type="dxa"/>
            <w:vAlign w:val="bottom"/>
            <w:gridSpan w:val="2"/>
            <w:shd w:val="clear" w:color="auto" w:fill="CFF0FC"/>
          </w:tcPr>
          <w:p>
            <w:pPr>
              <w:jc w:val="right"/>
              <w:ind w:right="6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50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25,100,495</w:t>
            </w:r>
          </w:p>
        </w:tc>
        <w:tc>
          <w:tcPr>
            <w:tcW w:w="1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200" w:type="dxa"/>
            <w:vAlign w:val="bottom"/>
            <w:shd w:val="clear" w:color="auto" w:fill="CFF0FC"/>
          </w:tcPr>
          <w:p>
            <w:pPr>
              <w:jc w:val="right"/>
              <w:ind w:right="10"/>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4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25,843,685</w:t>
            </w:r>
          </w:p>
        </w:tc>
        <w:tc>
          <w:tcPr>
            <w:tcW w:w="10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438"/>
        </w:trPr>
        <w:tc>
          <w:tcPr>
            <w:tcW w:w="562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4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4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4634230</wp:posOffset>
            </wp:positionH>
            <wp:positionV relativeFrom="paragraph">
              <wp:posOffset>-4928870</wp:posOffset>
            </wp:positionV>
            <wp:extent cx="68580" cy="889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-4911090</wp:posOffset>
            </wp:positionV>
            <wp:extent cx="68580" cy="8255"/>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-4928870</wp:posOffset>
            </wp:positionV>
            <wp:extent cx="68580" cy="889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-4911090</wp:posOffset>
            </wp:positionV>
            <wp:extent cx="68580" cy="8255"/>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-4928870</wp:posOffset>
            </wp:positionV>
            <wp:extent cx="68580" cy="889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-4911090</wp:posOffset>
            </wp:positionV>
            <wp:extent cx="68580" cy="8255"/>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-4345305</wp:posOffset>
            </wp:positionV>
            <wp:extent cx="68580" cy="8255"/>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-4328795</wp:posOffset>
            </wp:positionV>
            <wp:extent cx="68580" cy="889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-4345305</wp:posOffset>
            </wp:positionV>
            <wp:extent cx="68580" cy="8255"/>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-4328795</wp:posOffset>
            </wp:positionV>
            <wp:extent cx="68580" cy="889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-4345305</wp:posOffset>
            </wp:positionV>
            <wp:extent cx="68580" cy="825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-4328795</wp:posOffset>
            </wp:positionV>
            <wp:extent cx="68580" cy="889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-3514090</wp:posOffset>
            </wp:positionV>
            <wp:extent cx="68580" cy="889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-3514090</wp:posOffset>
            </wp:positionV>
            <wp:extent cx="68580" cy="889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-3514090</wp:posOffset>
            </wp:positionV>
            <wp:extent cx="68580" cy="889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-2931160</wp:posOffset>
            </wp:positionV>
            <wp:extent cx="68580" cy="8890"/>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-2931160</wp:posOffset>
            </wp:positionV>
            <wp:extent cx="68580" cy="889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-2931160</wp:posOffset>
            </wp:positionV>
            <wp:extent cx="68580" cy="889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-1808480</wp:posOffset>
            </wp:positionV>
            <wp:extent cx="68580" cy="889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-1790700</wp:posOffset>
            </wp:positionV>
            <wp:extent cx="68580" cy="8890"/>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-1808480</wp:posOffset>
            </wp:positionV>
            <wp:extent cx="68580" cy="889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-1790700</wp:posOffset>
            </wp:positionV>
            <wp:extent cx="68580" cy="889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-1808480</wp:posOffset>
            </wp:positionV>
            <wp:extent cx="68580" cy="889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-1790700</wp:posOffset>
            </wp:positionV>
            <wp:extent cx="68580" cy="8890"/>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-1233805</wp:posOffset>
            </wp:positionV>
            <wp:extent cx="68580" cy="889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-1233805</wp:posOffset>
            </wp:positionV>
            <wp:extent cx="68580" cy="8890"/>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-1233805</wp:posOffset>
            </wp:positionV>
            <wp:extent cx="68580" cy="889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7">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8">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19" w:name="page20"/>
    <w:bookmarkEnd w:id="19"/>
    <w:tbl>
      <w:tblPr>
        <w:tblLayout w:type="fixed"/>
        <w:tblInd w:w="0" w:type="dxa"/>
        <w:tblCellMar>
          <w:top w:w="0" w:type="dxa"/>
          <w:left w:w="0" w:type="dxa"/>
          <w:bottom w:w="0" w:type="dxa"/>
          <w:right w:w="0" w:type="dxa"/>
        </w:tblCellMar>
      </w:tblPr>
      <w:tr>
        <w:trPr>
          <w:trHeight w:val="173"/>
        </w:trPr>
        <w:tc>
          <w:tcPr>
            <w:tcW w:w="562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480" w:type="dxa"/>
            <w:vAlign w:val="bottom"/>
            <w:tcBorders>
              <w:bottom w:val="single" w:sz="8" w:color="auto"/>
            </w:tcBorders>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2080" w:type="dxa"/>
            <w:vAlign w:val="bottom"/>
            <w:tcBorders>
              <w:bottom w:val="single" w:sz="8" w:color="auto"/>
            </w:tcBorders>
            <w:gridSpan w:val="5"/>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Year-Ended December 31, 2023</w:t>
            </w:r>
          </w:p>
        </w:tc>
        <w:tc>
          <w:tcPr>
            <w:tcW w:w="160" w:type="dxa"/>
            <w:vAlign w:val="bottom"/>
            <w:tcBorders>
              <w:bottom w:val="single" w:sz="8" w:color="auto"/>
            </w:tcBorders>
          </w:tcPr>
          <w:p>
            <w:pPr>
              <w:spacing w:after="0"/>
              <w:rPr>
                <w:sz w:val="15"/>
                <w:szCs w:val="15"/>
                <w:color w:val="auto"/>
              </w:rPr>
            </w:pPr>
          </w:p>
        </w:tc>
        <w:tc>
          <w:tcPr>
            <w:tcW w:w="1500" w:type="dxa"/>
            <w:vAlign w:val="bottom"/>
            <w:tcBorders>
              <w:bottom w:val="single" w:sz="8" w:color="auto"/>
            </w:tcBorders>
          </w:tcPr>
          <w:p>
            <w:pPr>
              <w:spacing w:after="0"/>
              <w:rPr>
                <w:sz w:val="15"/>
                <w:szCs w:val="15"/>
                <w:color w:val="auto"/>
              </w:rPr>
            </w:pPr>
          </w:p>
        </w:tc>
        <w:tc>
          <w:tcPr>
            <w:tcW w:w="100" w:type="dxa"/>
            <w:vAlign w:val="bottom"/>
          </w:tcPr>
          <w:p>
            <w:pPr>
              <w:spacing w:after="0"/>
              <w:rPr>
                <w:sz w:val="15"/>
                <w:szCs w:val="15"/>
                <w:color w:val="auto"/>
              </w:rPr>
            </w:pPr>
          </w:p>
        </w:tc>
      </w:tr>
      <w:tr>
        <w:trPr>
          <w:trHeight w:val="142"/>
        </w:trPr>
        <w:tc>
          <w:tcPr>
            <w:tcW w:w="56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1580" w:type="dxa"/>
            <w:vAlign w:val="bottom"/>
            <w:gridSpan w:val="2"/>
          </w:tcPr>
          <w:p>
            <w:pPr>
              <w:jc w:val="right"/>
              <w:ind w:right="380"/>
              <w:spacing w:after="0" w:line="142" w:lineRule="exact"/>
              <w:rPr>
                <w:sz w:val="20"/>
                <w:szCs w:val="20"/>
                <w:color w:val="auto"/>
              </w:rPr>
            </w:pPr>
            <w:r>
              <w:rPr>
                <w:rFonts w:ascii="Times New Roman" w:cs="Times New Roman" w:eastAsia="Times New Roman" w:hAnsi="Times New Roman"/>
                <w:sz w:val="14"/>
                <w:szCs w:val="14"/>
                <w:b w:val="1"/>
                <w:bCs w:val="1"/>
                <w:color w:val="auto"/>
              </w:rPr>
              <w:t>Software Business</w:t>
            </w: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60" w:type="dxa"/>
            <w:vAlign w:val="bottom"/>
            <w:gridSpan w:val="3"/>
          </w:tcPr>
          <w:p>
            <w:pPr>
              <w:jc w:val="center"/>
              <w:ind w:right="440"/>
              <w:spacing w:after="0" w:line="142" w:lineRule="exact"/>
              <w:rPr>
                <w:sz w:val="20"/>
                <w:szCs w:val="20"/>
                <w:color w:val="auto"/>
              </w:rPr>
            </w:pPr>
            <w:r>
              <w:rPr>
                <w:rFonts w:ascii="Times New Roman" w:cs="Times New Roman" w:eastAsia="Times New Roman" w:hAnsi="Times New Roman"/>
                <w:sz w:val="14"/>
                <w:szCs w:val="14"/>
                <w:b w:val="1"/>
                <w:bCs w:val="1"/>
                <w:color w:val="auto"/>
              </w:rPr>
              <w:t>Corporate &amp; Other</w:t>
            </w:r>
          </w:p>
        </w:tc>
        <w:tc>
          <w:tcPr>
            <w:tcW w:w="160" w:type="dxa"/>
            <w:vAlign w:val="bottom"/>
          </w:tcPr>
          <w:p>
            <w:pPr>
              <w:spacing w:after="0"/>
              <w:rPr>
                <w:sz w:val="12"/>
                <w:szCs w:val="12"/>
                <w:color w:val="auto"/>
              </w:rPr>
            </w:pPr>
          </w:p>
        </w:tc>
        <w:tc>
          <w:tcPr>
            <w:tcW w:w="1500" w:type="dxa"/>
            <w:vAlign w:val="bottom"/>
          </w:tcPr>
          <w:p>
            <w:pPr>
              <w:jc w:val="right"/>
              <w:ind w:right="172"/>
              <w:spacing w:after="0" w:line="142" w:lineRule="exact"/>
              <w:rPr>
                <w:sz w:val="20"/>
                <w:szCs w:val="20"/>
                <w:color w:val="auto"/>
              </w:rPr>
            </w:pPr>
            <w:r>
              <w:rPr>
                <w:rFonts w:ascii="Times New Roman" w:cs="Times New Roman" w:eastAsia="Times New Roman" w:hAnsi="Times New Roman"/>
                <w:sz w:val="14"/>
                <w:szCs w:val="14"/>
                <w:b w:val="1"/>
                <w:bCs w:val="1"/>
                <w:color w:val="auto"/>
              </w:rPr>
              <w:t>Total Consolidated</w:t>
            </w:r>
          </w:p>
        </w:tc>
        <w:tc>
          <w:tcPr>
            <w:tcW w:w="100" w:type="dxa"/>
            <w:vAlign w:val="bottom"/>
          </w:tcPr>
          <w:p>
            <w:pPr>
              <w:spacing w:after="0"/>
              <w:rPr>
                <w:sz w:val="12"/>
                <w:szCs w:val="12"/>
                <w:color w:val="auto"/>
              </w:rPr>
            </w:pPr>
          </w:p>
        </w:tc>
      </w:tr>
      <w:tr>
        <w:trPr>
          <w:trHeight w:val="210"/>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200" w:type="dxa"/>
            <w:vAlign w:val="bottom"/>
            <w:tcBorders>
              <w:top w:val="single" w:sz="8" w:color="auto"/>
            </w:tcBorders>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496,261</w:t>
            </w: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tcBorders>
              <w:top w:val="single" w:sz="8" w:color="auto"/>
            </w:tcBorders>
            <w:shd w:val="clear" w:color="auto" w:fill="CFF0FC"/>
          </w:tcPr>
          <w:p>
            <w:pPr>
              <w:spacing w:after="0"/>
              <w:rPr>
                <w:sz w:val="18"/>
                <w:szCs w:val="18"/>
                <w:color w:val="auto"/>
              </w:rPr>
            </w:pPr>
          </w:p>
        </w:tc>
        <w:tc>
          <w:tcPr>
            <w:tcW w:w="1500" w:type="dxa"/>
            <w:vAlign w:val="bottom"/>
            <w:tcBorders>
              <w:top w:val="single" w:sz="8" w:color="auto"/>
            </w:tcBorders>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496,261</w:t>
            </w:r>
          </w:p>
        </w:tc>
        <w:tc>
          <w:tcPr>
            <w:tcW w:w="100" w:type="dxa"/>
            <w:vAlign w:val="bottom"/>
            <w:shd w:val="clear" w:color="auto" w:fill="CFF0FC"/>
          </w:tcPr>
          <w:p>
            <w:pPr>
              <w:spacing w:after="0"/>
              <w:rPr>
                <w:sz w:val="18"/>
                <w:szCs w:val="18"/>
                <w:color w:val="auto"/>
              </w:rPr>
            </w:pPr>
          </w:p>
        </w:tc>
      </w:tr>
      <w:tr>
        <w:trPr>
          <w:trHeight w:val="216"/>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expenses</w:t>
            </w:r>
          </w:p>
        </w:tc>
        <w:tc>
          <w:tcPr>
            <w:tcW w:w="200" w:type="dxa"/>
            <w:vAlign w:val="bottom"/>
          </w:tcPr>
          <w:p>
            <w:pPr>
              <w:spacing w:after="0"/>
              <w:rPr>
                <w:sz w:val="18"/>
                <w:szCs w:val="18"/>
                <w:color w:val="auto"/>
              </w:rPr>
            </w:pPr>
          </w:p>
        </w:tc>
        <w:tc>
          <w:tcPr>
            <w:tcW w:w="158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(492,703 )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(118,605 )</w:t>
            </w: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(611,308 )</w:t>
            </w:r>
          </w:p>
        </w:tc>
      </w:tr>
      <w:tr>
        <w:trPr>
          <w:trHeight w:val="20"/>
        </w:trPr>
        <w:tc>
          <w:tcPr>
            <w:tcW w:w="562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4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5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5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29"/>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Income (loss) from operations</w:t>
            </w: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3,558</w:t>
            </w:r>
          </w:p>
        </w:tc>
        <w:tc>
          <w:tcPr>
            <w:tcW w:w="100" w:type="dxa"/>
            <w:vAlign w:val="bottom"/>
            <w:tcBorders>
              <w:right w:val="single" w:sz="8" w:color="CFF0FC"/>
            </w:tcBorders>
            <w:shd w:val="clear" w:color="auto" w:fill="CFF0FC"/>
          </w:tcPr>
          <w:p>
            <w:pPr>
              <w:spacing w:after="0"/>
              <w:rPr>
                <w:sz w:val="19"/>
                <w:szCs w:val="19"/>
                <w:color w:val="auto"/>
              </w:rPr>
            </w:pPr>
          </w:p>
        </w:tc>
        <w:tc>
          <w:tcPr>
            <w:tcW w:w="32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(118,605 )</w:t>
            </w:r>
          </w:p>
        </w:tc>
        <w:tc>
          <w:tcPr>
            <w:tcW w:w="160" w:type="dxa"/>
            <w:vAlign w:val="bottom"/>
            <w:shd w:val="clear" w:color="auto" w:fill="CFF0FC"/>
          </w:tcPr>
          <w:p>
            <w:pPr>
              <w:spacing w:after="0"/>
              <w:rPr>
                <w:sz w:val="19"/>
                <w:szCs w:val="19"/>
                <w:color w:val="auto"/>
              </w:rPr>
            </w:pP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(115,047 )</w:t>
            </w:r>
          </w:p>
        </w:tc>
      </w:tr>
      <w:tr>
        <w:trPr>
          <w:trHeight w:val="20"/>
        </w:trPr>
        <w:tc>
          <w:tcPr>
            <w:tcW w:w="562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4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right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50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50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r>
        <w:trPr>
          <w:trHeight w:val="197"/>
        </w:trPr>
        <w:tc>
          <w:tcPr>
            <w:tcW w:w="5620" w:type="dxa"/>
            <w:vAlign w:val="bottom"/>
          </w:tcPr>
          <w:p>
            <w:pPr>
              <w:ind w:left="20"/>
              <w:spacing w:after="0" w:line="196" w:lineRule="exact"/>
              <w:rPr>
                <w:sz w:val="20"/>
                <w:szCs w:val="20"/>
                <w:color w:val="auto"/>
              </w:rPr>
            </w:pPr>
            <w:r>
              <w:rPr>
                <w:rFonts w:ascii="Times New Roman" w:cs="Times New Roman" w:eastAsia="Times New Roman" w:hAnsi="Times New Roman"/>
                <w:sz w:val="18"/>
                <w:szCs w:val="18"/>
                <w:color w:val="auto"/>
              </w:rPr>
              <w:t>Interest expense, net</w:t>
            </w:r>
          </w:p>
        </w:tc>
        <w:tc>
          <w:tcPr>
            <w:tcW w:w="200" w:type="dxa"/>
            <w:vAlign w:val="bottom"/>
          </w:tcPr>
          <w:p>
            <w:pPr>
              <w:spacing w:after="0"/>
              <w:rPr>
                <w:sz w:val="17"/>
                <w:szCs w:val="17"/>
                <w:color w:val="auto"/>
              </w:rPr>
            </w:pPr>
          </w:p>
        </w:tc>
        <w:tc>
          <w:tcPr>
            <w:tcW w:w="148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600" w:type="dxa"/>
            <w:vAlign w:val="bottom"/>
            <w:gridSpan w:val="2"/>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(48,960 )</w:t>
            </w:r>
          </w:p>
        </w:tc>
        <w:tc>
          <w:tcPr>
            <w:tcW w:w="16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1600" w:type="dxa"/>
            <w:vAlign w:val="bottom"/>
            <w:gridSpan w:val="2"/>
          </w:tcPr>
          <w:p>
            <w:pPr>
              <w:jc w:val="right"/>
              <w:ind w:right="40"/>
              <w:spacing w:after="0" w:line="196" w:lineRule="exact"/>
              <w:rPr>
                <w:sz w:val="20"/>
                <w:szCs w:val="20"/>
                <w:color w:val="auto"/>
              </w:rPr>
            </w:pPr>
            <w:r>
              <w:rPr>
                <w:rFonts w:ascii="Times New Roman" w:cs="Times New Roman" w:eastAsia="Times New Roman" w:hAnsi="Times New Roman"/>
                <w:sz w:val="18"/>
                <w:szCs w:val="18"/>
                <w:color w:val="auto"/>
              </w:rPr>
              <w:t>(48,960 )</w:t>
            </w:r>
          </w:p>
        </w:tc>
      </w:tr>
      <w:tr>
        <w:trPr>
          <w:trHeight w:val="216"/>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Gain on debt extinguishment</w:t>
            </w:r>
          </w:p>
        </w:tc>
        <w:tc>
          <w:tcPr>
            <w:tcW w:w="200" w:type="dxa"/>
            <w:vAlign w:val="bottom"/>
            <w:shd w:val="clear" w:color="auto" w:fill="CFF0FC"/>
          </w:tcPr>
          <w:p>
            <w:pPr>
              <w:spacing w:after="0"/>
              <w:rPr>
                <w:sz w:val="18"/>
                <w:szCs w:val="18"/>
                <w:color w:val="auto"/>
              </w:rPr>
            </w:pPr>
          </w:p>
        </w:tc>
        <w:tc>
          <w:tcPr>
            <w:tcW w:w="1480" w:type="dxa"/>
            <w:vAlign w:val="bottom"/>
            <w:shd w:val="clear" w:color="auto" w:fill="CFF0FC"/>
          </w:tcPr>
          <w:p>
            <w:pPr>
              <w:spacing w:after="0"/>
              <w:rPr>
                <w:sz w:val="18"/>
                <w:szCs w:val="18"/>
                <w:color w:val="auto"/>
              </w:rPr>
            </w:pPr>
          </w:p>
        </w:tc>
        <w:tc>
          <w:tcPr>
            <w:tcW w:w="100" w:type="dxa"/>
            <w:vAlign w:val="bottom"/>
            <w:tcBorders>
              <w:right w:val="single" w:sz="8" w:color="CFF0FC"/>
            </w:tcBorders>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100" w:type="dxa"/>
            <w:vAlign w:val="bottom"/>
            <w:shd w:val="clear" w:color="auto" w:fill="CFF0FC"/>
          </w:tcPr>
          <w:p>
            <w:pPr>
              <w:spacing w:after="0"/>
              <w:rPr>
                <w:sz w:val="18"/>
                <w:szCs w:val="18"/>
                <w:color w:val="auto"/>
              </w:rPr>
            </w:pPr>
          </w:p>
        </w:tc>
      </w:tr>
      <w:tr>
        <w:trPr>
          <w:trHeight w:val="216"/>
        </w:trPr>
        <w:tc>
          <w:tcPr>
            <w:tcW w:w="5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Income tax benefit</w:t>
            </w:r>
          </w:p>
        </w:tc>
        <w:tc>
          <w:tcPr>
            <w:tcW w:w="200" w:type="dxa"/>
            <w:vAlign w:val="bottom"/>
          </w:tcPr>
          <w:p>
            <w:pPr>
              <w:spacing w:after="0"/>
              <w:rPr>
                <w:sz w:val="18"/>
                <w:szCs w:val="18"/>
                <w:color w:val="auto"/>
              </w:rPr>
            </w:pPr>
          </w:p>
        </w:tc>
        <w:tc>
          <w:tcPr>
            <w:tcW w:w="14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10,553</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543,093</w:t>
            </w:r>
          </w:p>
        </w:tc>
        <w:tc>
          <w:tcPr>
            <w:tcW w:w="1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553,646</w:t>
            </w:r>
          </w:p>
        </w:tc>
        <w:tc>
          <w:tcPr>
            <w:tcW w:w="100" w:type="dxa"/>
            <w:vAlign w:val="bottom"/>
          </w:tcPr>
          <w:p>
            <w:pPr>
              <w:spacing w:after="0"/>
              <w:rPr>
                <w:sz w:val="18"/>
                <w:szCs w:val="18"/>
                <w:color w:val="auto"/>
              </w:rPr>
            </w:pPr>
          </w:p>
        </w:tc>
      </w:tr>
      <w:tr>
        <w:trPr>
          <w:trHeight w:val="216"/>
        </w:trPr>
        <w:tc>
          <w:tcPr>
            <w:tcW w:w="5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segment items to reconcile to net income</w:t>
            </w:r>
          </w:p>
        </w:tc>
        <w:tc>
          <w:tcPr>
            <w:tcW w:w="200" w:type="dxa"/>
            <w:vAlign w:val="bottom"/>
            <w:shd w:val="clear" w:color="auto" w:fill="CFF0FC"/>
          </w:tcPr>
          <w:p>
            <w:pPr>
              <w:spacing w:after="0"/>
              <w:rPr>
                <w:sz w:val="18"/>
                <w:szCs w:val="18"/>
                <w:color w:val="auto"/>
              </w:rPr>
            </w:pPr>
          </w:p>
        </w:tc>
        <w:tc>
          <w:tcPr>
            <w:tcW w:w="1580" w:type="dxa"/>
            <w:vAlign w:val="bottom"/>
            <w:tcBorders>
              <w:right w:val="single" w:sz="8" w:color="CFF0FC"/>
            </w:tcBorders>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(5,204 )</w:t>
            </w: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0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6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(5,204 )</w:t>
            </w:r>
          </w:p>
        </w:tc>
      </w:tr>
      <w:tr>
        <w:trPr>
          <w:trHeight w:val="210"/>
        </w:trPr>
        <w:tc>
          <w:tcPr>
            <w:tcW w:w="562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8"/>
                <w:szCs w:val="18"/>
                <w:color w:val="auto"/>
              </w:rPr>
              <w:t>Net income</w:t>
            </w:r>
          </w:p>
        </w:tc>
        <w:tc>
          <w:tcPr>
            <w:tcW w:w="200" w:type="dxa"/>
            <w:vAlign w:val="bottom"/>
            <w:tcBorders>
              <w:top w:val="single" w:sz="8" w:color="auto"/>
              <w:bottom w:val="single" w:sz="8" w:color="auto"/>
            </w:tcBorders>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8,907</w:t>
            </w:r>
          </w:p>
        </w:tc>
        <w:tc>
          <w:tcPr>
            <w:tcW w:w="100" w:type="dxa"/>
            <w:vAlign w:val="bottom"/>
            <w:tcBorders>
              <w:top w:val="single" w:sz="8" w:color="CFF0FC"/>
            </w:tcBorders>
          </w:tcPr>
          <w:p>
            <w:pPr>
              <w:spacing w:after="0"/>
              <w:rPr>
                <w:sz w:val="18"/>
                <w:szCs w:val="18"/>
                <w:color w:val="auto"/>
              </w:rPr>
            </w:pPr>
          </w:p>
        </w:tc>
        <w:tc>
          <w:tcPr>
            <w:tcW w:w="320" w:type="dxa"/>
            <w:vAlign w:val="bottom"/>
            <w:tcBorders>
              <w:top w:val="single" w:sz="8" w:color="auto"/>
              <w:bottom w:val="single" w:sz="8" w:color="auto"/>
            </w:tcBorders>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w:t>
            </w:r>
          </w:p>
        </w:tc>
        <w:tc>
          <w:tcPr>
            <w:tcW w:w="150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420,214</w:t>
            </w:r>
          </w:p>
        </w:tc>
        <w:tc>
          <w:tcPr>
            <w:tcW w:w="100" w:type="dxa"/>
            <w:vAlign w:val="bottom"/>
            <w:tcBorders>
              <w:top w:val="single" w:sz="8" w:color="CFF0FC"/>
            </w:tcBorders>
          </w:tcPr>
          <w:p>
            <w:pPr>
              <w:spacing w:after="0"/>
              <w:rPr>
                <w:sz w:val="18"/>
                <w:szCs w:val="18"/>
                <w:color w:val="auto"/>
              </w:rPr>
            </w:pPr>
          </w:p>
        </w:tc>
        <w:tc>
          <w:tcPr>
            <w:tcW w:w="160" w:type="dxa"/>
            <w:vAlign w:val="bottom"/>
            <w:tcBorders>
              <w:top w:val="single" w:sz="8" w:color="auto"/>
              <w:bottom w:val="single" w:sz="8" w:color="auto"/>
            </w:tcBorders>
          </w:tcPr>
          <w:p>
            <w:pPr>
              <w:spacing w:after="0"/>
              <w:rPr>
                <w:sz w:val="18"/>
                <w:szCs w:val="18"/>
                <w:color w:val="auto"/>
              </w:rPr>
            </w:pPr>
          </w:p>
        </w:tc>
        <w:tc>
          <w:tcPr>
            <w:tcW w:w="16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429,121</w:t>
            </w:r>
          </w:p>
        </w:tc>
        <w:tc>
          <w:tcPr>
            <w:tcW w:w="100" w:type="dxa"/>
            <w:vAlign w:val="bottom"/>
            <w:tcBorders>
              <w:top w:val="single" w:sz="8" w:color="CFF0FC"/>
            </w:tcBorders>
          </w:tcPr>
          <w:p>
            <w:pPr>
              <w:spacing w:after="0"/>
              <w:rPr>
                <w:sz w:val="18"/>
                <w:szCs w:val="18"/>
                <w:color w:val="auto"/>
              </w:rPr>
            </w:pPr>
          </w:p>
        </w:tc>
      </w:tr>
      <w:tr>
        <w:trPr>
          <w:trHeight w:val="20"/>
        </w:trPr>
        <w:tc>
          <w:tcPr>
            <w:tcW w:w="5620" w:type="dxa"/>
            <w:vAlign w:val="bottom"/>
          </w:tcPr>
          <w:p>
            <w:pPr>
              <w:spacing w:after="0" w:line="20" w:lineRule="exact"/>
              <w:rPr>
                <w:sz w:val="1"/>
                <w:szCs w:val="1"/>
                <w:color w:val="auto"/>
              </w:rPr>
            </w:pPr>
          </w:p>
        </w:tc>
        <w:tc>
          <w:tcPr>
            <w:tcW w:w="200" w:type="dxa"/>
            <w:vAlign w:val="bottom"/>
            <w:tcBorders>
              <w:bottom w:val="single" w:sz="8" w:color="auto"/>
            </w:tcBorders>
          </w:tcPr>
          <w:p>
            <w:pPr>
              <w:spacing w:after="0" w:line="20" w:lineRule="exact"/>
              <w:rPr>
                <w:sz w:val="1"/>
                <w:szCs w:val="1"/>
                <w:color w:val="auto"/>
              </w:rPr>
            </w:pPr>
          </w:p>
        </w:tc>
        <w:tc>
          <w:tcPr>
            <w:tcW w:w="148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150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150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197"/>
        </w:trPr>
        <w:tc>
          <w:tcPr>
            <w:tcW w:w="5620" w:type="dxa"/>
            <w:vAlign w:val="bottom"/>
            <w:shd w:val="clear" w:color="auto" w:fill="CFF0FC"/>
          </w:tcPr>
          <w:p>
            <w:pPr>
              <w:ind w:left="20"/>
              <w:spacing w:after="0" w:line="196" w:lineRule="exact"/>
              <w:rPr>
                <w:sz w:val="20"/>
                <w:szCs w:val="20"/>
                <w:color w:val="auto"/>
              </w:rPr>
            </w:pPr>
            <w:r>
              <w:rPr>
                <w:rFonts w:ascii="Times New Roman" w:cs="Times New Roman" w:eastAsia="Times New Roman" w:hAnsi="Times New Roman"/>
                <w:sz w:val="18"/>
                <w:szCs w:val="18"/>
                <w:color w:val="auto"/>
              </w:rPr>
              <w:t>Total assets, as of December 31, 2023</w:t>
            </w:r>
          </w:p>
        </w:tc>
        <w:tc>
          <w:tcPr>
            <w:tcW w:w="200" w:type="dxa"/>
            <w:vAlign w:val="bottom"/>
            <w:shd w:val="clear" w:color="auto" w:fill="CFF0FC"/>
          </w:tcPr>
          <w:p>
            <w:pPr>
              <w:jc w:val="right"/>
              <w:ind w:right="10"/>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470,353</w:t>
            </w:r>
          </w:p>
        </w:tc>
        <w:tc>
          <w:tcPr>
            <w:tcW w:w="100" w:type="dxa"/>
            <w:vAlign w:val="bottom"/>
            <w:tcBorders>
              <w:right w:val="single" w:sz="8" w:color="CFF0FC"/>
            </w:tcBorders>
            <w:shd w:val="clear" w:color="auto" w:fill="CFF0FC"/>
          </w:tcPr>
          <w:p>
            <w:pPr>
              <w:spacing w:after="0"/>
              <w:rPr>
                <w:sz w:val="17"/>
                <w:szCs w:val="17"/>
                <w:color w:val="auto"/>
              </w:rPr>
            </w:pPr>
          </w:p>
        </w:tc>
        <w:tc>
          <w:tcPr>
            <w:tcW w:w="320" w:type="dxa"/>
            <w:vAlign w:val="bottom"/>
            <w:gridSpan w:val="2"/>
            <w:shd w:val="clear" w:color="auto" w:fill="CFF0FC"/>
          </w:tcPr>
          <w:p>
            <w:pPr>
              <w:jc w:val="right"/>
              <w:ind w:right="60"/>
              <w:spacing w:after="0" w:line="196" w:lineRule="exact"/>
              <w:rPr>
                <w:sz w:val="20"/>
                <w:szCs w:val="20"/>
                <w:color w:val="auto"/>
              </w:rPr>
            </w:pPr>
            <w:r>
              <w:rPr>
                <w:rFonts w:ascii="Times New Roman" w:cs="Times New Roman" w:eastAsia="Times New Roman" w:hAnsi="Times New Roman"/>
                <w:sz w:val="18"/>
                <w:szCs w:val="18"/>
                <w:color w:val="auto"/>
              </w:rPr>
              <w:t>$</w:t>
            </w:r>
          </w:p>
        </w:tc>
        <w:tc>
          <w:tcPr>
            <w:tcW w:w="150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4,292,175</w:t>
            </w:r>
          </w:p>
        </w:tc>
        <w:tc>
          <w:tcPr>
            <w:tcW w:w="1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w w:val="88"/>
              </w:rPr>
              <w:t>$</w:t>
            </w:r>
          </w:p>
        </w:tc>
        <w:tc>
          <w:tcPr>
            <w:tcW w:w="1500" w:type="dxa"/>
            <w:vAlign w:val="bottom"/>
            <w:shd w:val="clear" w:color="auto" w:fill="CFF0FC"/>
          </w:tcPr>
          <w:p>
            <w:pPr>
              <w:jc w:val="right"/>
              <w:spacing w:after="0" w:line="196" w:lineRule="exact"/>
              <w:rPr>
                <w:sz w:val="20"/>
                <w:szCs w:val="20"/>
                <w:color w:val="auto"/>
              </w:rPr>
            </w:pPr>
            <w:r>
              <w:rPr>
                <w:rFonts w:ascii="Times New Roman" w:cs="Times New Roman" w:eastAsia="Times New Roman" w:hAnsi="Times New Roman"/>
                <w:sz w:val="18"/>
                <w:szCs w:val="18"/>
                <w:color w:val="auto"/>
              </w:rPr>
              <w:t>4,762,528</w:t>
            </w:r>
          </w:p>
        </w:tc>
        <w:tc>
          <w:tcPr>
            <w:tcW w:w="100" w:type="dxa"/>
            <w:vAlign w:val="bottom"/>
            <w:shd w:val="clear" w:color="auto" w:fill="CFF0FC"/>
          </w:tcPr>
          <w:p>
            <w:pPr>
              <w:spacing w:after="0"/>
              <w:rPr>
                <w:sz w:val="17"/>
                <w:szCs w:val="17"/>
                <w:color w:val="auto"/>
              </w:rPr>
            </w:pPr>
          </w:p>
        </w:tc>
      </w:tr>
      <w:tr>
        <w:trPr>
          <w:trHeight w:val="1222"/>
        </w:trPr>
        <w:tc>
          <w:tcPr>
            <w:tcW w:w="562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14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50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4634230</wp:posOffset>
            </wp:positionH>
            <wp:positionV relativeFrom="paragraph">
              <wp:posOffset>-1671320</wp:posOffset>
            </wp:positionV>
            <wp:extent cx="68580" cy="8255"/>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-1654175</wp:posOffset>
            </wp:positionV>
            <wp:extent cx="68580" cy="889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-1671320</wp:posOffset>
            </wp:positionV>
            <wp:extent cx="68580" cy="8255"/>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-1654175</wp:posOffset>
            </wp:positionV>
            <wp:extent cx="68580" cy="889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-1671320</wp:posOffset>
            </wp:positionV>
            <wp:extent cx="68580" cy="8255"/>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-1654175</wp:posOffset>
            </wp:positionV>
            <wp:extent cx="68580" cy="889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4634230</wp:posOffset>
            </wp:positionH>
            <wp:positionV relativeFrom="paragraph">
              <wp:posOffset>-1096645</wp:posOffset>
            </wp:positionV>
            <wp:extent cx="68580" cy="8890"/>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5851525</wp:posOffset>
            </wp:positionH>
            <wp:positionV relativeFrom="paragraph">
              <wp:posOffset>-1096645</wp:posOffset>
            </wp:positionV>
            <wp:extent cx="68580" cy="889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7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-1096645</wp:posOffset>
            </wp:positionV>
            <wp:extent cx="68580" cy="8890"/>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78">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9">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060" w:right="339" w:bottom="1440" w:gutter="0" w:footer="0" w:header="0"/>
        </w:sectPr>
      </w:pPr>
    </w:p>
    <w:bookmarkStart w:id="20" w:name="page21"/>
    <w:bookmarkEnd w:id="20"/>
    <w:sectPr>
      <w:pgSz w:w="11900" w:h="16838" w:orient="portrait"/>
      <w:cols w:equalWidth="1" w:num="1" w:space="0"/>
      <w:pgMar w:left="1440" w:top="1440" w:right="1440" w:bottom="875"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515F007C"/>
    <w:multiLevelType w:val="hybridMultilevel"/>
    <w:lvl w:ilvl="0">
      <w:lvlJc w:val="left"/>
      <w:lvlText w:val="☐"/>
      <w:numFmt w:val="bullet"/>
      <w:start w:val="1"/>
    </w:lvl>
  </w:abstractNum>
  <w:abstractNum w:abstractNumId="1">
    <w:nsid w:val="5BD062C2"/>
    <w:multiLevelType w:val="hybridMultilevel"/>
    <w:lvl w:ilvl="0">
      <w:lvlJc w:val="left"/>
      <w:lvlText w:val="(%1)"/>
      <w:numFmt w:val="lowerLetter"/>
      <w:start w:val="4"/>
    </w:lvl>
  </w:abstractNum>
  <w:abstractNum w:abstractNumId="2">
    <w:nsid w:val="12200854"/>
    <w:multiLevelType w:val="hybridMultilevel"/>
    <w:lvl w:ilvl="0">
      <w:lvlJc w:val="left"/>
      <w:lvlText w:val="•"/>
      <w:numFmt w:val="bullet"/>
      <w:start w:val="1"/>
    </w:lvl>
  </w:abstractNum>
  <w:abstractNum w:abstractNumId="3">
    <w:nsid w:val="4DB127F8"/>
    <w:multiLevelType w:val="hybridMultilevel"/>
    <w:lvl w:ilvl="0">
      <w:lvlJc w:val="left"/>
      <w:lvlText w:val="•"/>
      <w:numFmt w:val="bullet"/>
      <w:start w:val="1"/>
    </w:lvl>
  </w:abstractNum>
  <w:abstractNum w:abstractNumId="4">
    <w:nsid w:val="216231B"/>
    <w:multiLevelType w:val="hybridMultilevel"/>
    <w:lvl w:ilvl="0">
      <w:lvlJc w:val="left"/>
      <w:lvlText w:val="•"/>
      <w:numFmt w:val="bullet"/>
      <w:start w:val="1"/>
    </w:lvl>
  </w:abstractNum>
  <w:abstractNum w:abstractNumId="5">
    <w:nsid w:val="1F16E9E8"/>
    <w:multiLevelType w:val="hybridMultilevel"/>
    <w:lvl w:ilvl="0">
      <w:lvlJc w:val="left"/>
      <w:lvlText w:val="•"/>
      <w:numFmt w:val="bullet"/>
      <w:start w:val="1"/>
    </w:lvl>
  </w:abstractNum>
  <w:abstractNum w:abstractNumId="6">
    <w:nsid w:val="1190CDE7"/>
    <w:multiLevelType w:val="hybridMultilevel"/>
    <w:lvl w:ilvl="0">
      <w:lvlJc w:val="left"/>
      <w:lvlText w:val="•"/>
      <w:numFmt w:val="bullet"/>
      <w:start w:val="1"/>
    </w:lvl>
    <w:lvl w:ilvl="1">
      <w:lvlJc w:val="left"/>
      <w:lvlText w:val="o"/>
      <w:numFmt w:val="bullet"/>
      <w:start w:val="1"/>
    </w:lvl>
  </w:abstractNum>
  <w:abstractNum w:abstractNumId="7">
    <w:nsid w:val="66EF438D"/>
    <w:multiLevelType w:val="hybridMultilevel"/>
    <w:lvl w:ilvl="0">
      <w:lvlJc w:val="left"/>
      <w:lvlText w:val="•"/>
      <w:numFmt w:val="bullet"/>
      <w:start w:val="1"/>
    </w:lvl>
  </w:abstractNum>
  <w:abstractNum w:abstractNumId="8">
    <w:nsid w:val="140E0F76"/>
    <w:multiLevelType w:val="hybridMultilevel"/>
    <w:lvl w:ilvl="0">
      <w:lvlJc w:val="left"/>
      <w:lvlText w:val="•"/>
      <w:numFmt w:val="bullet"/>
      <w:start w:val="1"/>
    </w:lvl>
  </w:abstractNum>
  <w:abstractNum w:abstractNumId="9">
    <w:nsid w:val="3352255A"/>
    <w:multiLevelType w:val="hybridMultilevel"/>
    <w:lvl w:ilvl="0">
      <w:lvlJc w:val="left"/>
      <w:lvlText w:val="•"/>
      <w:numFmt w:val="bullet"/>
      <w:start w:val="1"/>
    </w:lvl>
  </w:abstractNum>
  <w:abstractNum w:abstractNumId="10">
    <w:nsid w:val="109CF92E"/>
    <w:multiLevelType w:val="hybridMultilevel"/>
    <w:lvl w:ilvl="0">
      <w:lvlJc w:val="left"/>
      <w:lvlText w:val="•"/>
      <w:numFmt w:val="bullet"/>
      <w:start w:val="1"/>
    </w:lvl>
  </w:abstractNum>
  <w:abstractNum w:abstractNumId="11">
    <w:nsid w:val="DED7263"/>
    <w:multiLevelType w:val="hybridMultilevel"/>
    <w:lvl w:ilvl="0">
      <w:lvlJc w:val="left"/>
      <w:lvlText w:val="(%1)"/>
      <w:numFmt w:val="decimal"/>
      <w:start w:val="1"/>
    </w:lvl>
  </w:abstractNum>
  <w:abstractNum w:abstractNumId="12">
    <w:nsid w:val="7FDCC233"/>
    <w:multiLevelType w:val="hybridMultilevel"/>
    <w:lvl w:ilvl="0">
      <w:lvlJc w:val="left"/>
      <w:lvlText w:val="*"/>
      <w:numFmt w:val="bullet"/>
      <w:start w:val="1"/>
    </w:lvl>
    <w:lvl w:ilvl="1">
      <w:lvlJc w:val="left"/>
      <w:lvlText w:val="(%2)"/>
      <w:numFmt w:val="lowerLetter"/>
      <w:start w:val="1"/>
    </w:lvl>
  </w:abstractNum>
  <w:abstractNum w:abstractNumId="13">
    <w:nsid w:val="1BEFD79F"/>
    <w:multiLevelType w:val="hybridMultilevel"/>
    <w:lvl w:ilvl="0">
      <w:lvlJc w:val="left"/>
      <w:lvlText w:val="*"/>
      <w:numFmt w:val="bullet"/>
      <w:start w:val="1"/>
    </w:lvl>
    <w:lvl w:ilvl="1">
      <w:lvlJc w:val="left"/>
      <w:lvlText w:val="(%2)"/>
      <w:numFmt w:val="lowerLetter"/>
      <w:start w:val="1"/>
    </w:lvl>
  </w:abstractNum>
  <w:abstractNum w:abstractNumId="14">
    <w:nsid w:val="41A7C4C9"/>
    <w:multiLevelType w:val="hybridMultilevel"/>
    <w:lvl w:ilvl="0">
      <w:lvlJc w:val="left"/>
      <w:lvlText w:val="(%1)"/>
      <w:numFmt w:val="decimal"/>
      <w:start w:val="1"/>
    </w:lvl>
  </w:abstractNum>
  <w:abstractNum w:abstractNumId="15">
    <w:nsid w:val="6B68079A"/>
    <w:multiLevelType w:val="hybridMultilevel"/>
    <w:lvl w:ilvl="0">
      <w:lvlJc w:val="left"/>
      <w:lvlText w:val="(%1)"/>
      <w:numFmt w:val="decim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png"/><Relationship Id="rId99" Type="http://schemas.openxmlformats.org/officeDocument/2006/relationships/image" Target="media/image92.pn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png"/><Relationship Id="rId103" Type="http://schemas.openxmlformats.org/officeDocument/2006/relationships/image" Target="media/image96.pn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 Id="rId156" Type="http://schemas.openxmlformats.org/officeDocument/2006/relationships/image" Target="media/image149.png"/><Relationship Id="rId157" Type="http://schemas.openxmlformats.org/officeDocument/2006/relationships/image" Target="media/image150.png"/><Relationship Id="rId158" Type="http://schemas.openxmlformats.org/officeDocument/2006/relationships/image" Target="media/image151.png"/><Relationship Id="rId159" Type="http://schemas.openxmlformats.org/officeDocument/2006/relationships/image" Target="media/image152.png"/><Relationship Id="rId160" Type="http://schemas.openxmlformats.org/officeDocument/2006/relationships/image" Target="media/image153.png"/><Relationship Id="rId161" Type="http://schemas.openxmlformats.org/officeDocument/2006/relationships/image" Target="media/image154.png"/><Relationship Id="rId162" Type="http://schemas.openxmlformats.org/officeDocument/2006/relationships/image" Target="media/image155.png"/><Relationship Id="rId163" Type="http://schemas.openxmlformats.org/officeDocument/2006/relationships/image" Target="media/image156.png"/><Relationship Id="rId164" Type="http://schemas.openxmlformats.org/officeDocument/2006/relationships/image" Target="media/image157.png"/><Relationship Id="rId165" Type="http://schemas.openxmlformats.org/officeDocument/2006/relationships/image" Target="media/image158.png"/><Relationship Id="rId166" Type="http://schemas.openxmlformats.org/officeDocument/2006/relationships/image" Target="media/image159.png"/><Relationship Id="rId167" Type="http://schemas.openxmlformats.org/officeDocument/2006/relationships/image" Target="media/image160.png"/><Relationship Id="rId168" Type="http://schemas.openxmlformats.org/officeDocument/2006/relationships/image" Target="media/image161.png"/><Relationship Id="rId169" Type="http://schemas.openxmlformats.org/officeDocument/2006/relationships/image" Target="media/image162.png"/><Relationship Id="rId170" Type="http://schemas.openxmlformats.org/officeDocument/2006/relationships/image" Target="media/image163.png"/><Relationship Id="rId171" Type="http://schemas.openxmlformats.org/officeDocument/2006/relationships/image" Target="media/image164.png"/><Relationship Id="rId172" Type="http://schemas.openxmlformats.org/officeDocument/2006/relationships/image" Target="media/image165.png"/><Relationship Id="rId173" Type="http://schemas.openxmlformats.org/officeDocument/2006/relationships/image" Target="media/image166.png"/><Relationship Id="rId174" Type="http://schemas.openxmlformats.org/officeDocument/2006/relationships/image" Target="media/image167.png"/><Relationship Id="rId175" Type="http://schemas.openxmlformats.org/officeDocument/2006/relationships/image" Target="media/image168.png"/><Relationship Id="rId176" Type="http://schemas.openxmlformats.org/officeDocument/2006/relationships/image" Target="media/image169.png"/><Relationship Id="rId177" Type="http://schemas.openxmlformats.org/officeDocument/2006/relationships/image" Target="media/image170.png"/><Relationship Id="rId178" Type="http://schemas.openxmlformats.org/officeDocument/2006/relationships/image" Target="media/image171.png"/><Relationship Id="rId179" Type="http://schemas.openxmlformats.org/officeDocument/2006/relationships/image" Target="media/image172.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2025-02-05T15:24:36Z</dcterms:created>
  <dcterms:modified xsi:type="dcterms:W3CDTF">2025-02-05T15:24:36Z</dcterms:modified>
</cp:coreProperties>
</file>